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A068A" w14:textId="0758A07A" w:rsidR="004F41ED" w:rsidRPr="004F41ED" w:rsidRDefault="00B0615B" w:rsidP="004F41ED">
      <w:pPr>
        <w:ind w:right="-710"/>
        <w:rPr>
          <w:rFonts w:ascii="Atkinson Hyperlegible" w:hAnsi="Atkinson Hyperlegible" w:cs="Calibri"/>
          <w:color w:val="808080" w:themeColor="background1" w:themeShade="80"/>
          <w:sz w:val="30"/>
          <w:szCs w:val="36"/>
        </w:rPr>
      </w:pPr>
      <w:r w:rsidRPr="000227FA">
        <w:rPr>
          <w:rFonts w:ascii="Atkinson Hyperlegible" w:hAnsi="Atkinson Hyperlegible" w:cs="Calibri"/>
          <w:noProof/>
          <w:color w:val="808080" w:themeColor="background1" w:themeShade="80"/>
          <w:spacing w:val="-20"/>
          <w:kern w:val="144"/>
          <w:sz w:val="30"/>
          <w:szCs w:val="36"/>
        </w:rPr>
        <w:t>co</w:t>
      </w:r>
      <w:r w:rsidR="00785C8D" w:rsidRPr="000227FA">
        <w:rPr>
          <w:rFonts w:ascii="Atkinson Hyperlegible" w:hAnsi="Atkinson Hyperlegible" w:cs="Calibri"/>
          <w:noProof/>
          <w:color w:val="808080" w:themeColor="background1" w:themeShade="80"/>
          <w:spacing w:val="-20"/>
          <w:kern w:val="144"/>
          <w:sz w:val="30"/>
          <w:szCs w:val="36"/>
        </w:rPr>
        <w:t>municato stampa</w:t>
      </w:r>
    </w:p>
    <w:p w14:paraId="5E16D7C1" w14:textId="77777777" w:rsidR="00295ECF" w:rsidRDefault="00295ECF" w:rsidP="00B71124">
      <w:pPr>
        <w:rPr>
          <w:rFonts w:ascii="Atkinson Hyperlegible" w:hAnsi="Atkinson Hyperlegible" w:cs="Calibri"/>
          <w:b/>
          <w:sz w:val="40"/>
          <w:szCs w:val="40"/>
        </w:rPr>
      </w:pPr>
    </w:p>
    <w:p w14:paraId="2CEEEE3A" w14:textId="77777777" w:rsidR="00DD0880" w:rsidRDefault="00DD0880" w:rsidP="00580084">
      <w:pPr>
        <w:jc w:val="center"/>
        <w:rPr>
          <w:rFonts w:ascii="Atkinson Hyperlegible" w:hAnsi="Atkinson Hyperlegible" w:cs="Calibri"/>
          <w:b/>
          <w:sz w:val="40"/>
          <w:szCs w:val="40"/>
        </w:rPr>
      </w:pPr>
      <w:r>
        <w:rPr>
          <w:rFonts w:ascii="Atkinson Hyperlegible" w:hAnsi="Atkinson Hyperlegible" w:cs="Calibri"/>
          <w:b/>
          <w:sz w:val="40"/>
          <w:szCs w:val="40"/>
        </w:rPr>
        <w:t xml:space="preserve">Dinamica delle imprese, saldo positivo </w:t>
      </w:r>
    </w:p>
    <w:p w14:paraId="41196918" w14:textId="5CB528E6" w:rsidR="00580084" w:rsidRDefault="00DD0880" w:rsidP="00580084">
      <w:pPr>
        <w:jc w:val="center"/>
        <w:rPr>
          <w:rFonts w:ascii="Atkinson Hyperlegible" w:hAnsi="Atkinson Hyperlegible" w:cs="Calibri"/>
          <w:b/>
          <w:sz w:val="40"/>
          <w:szCs w:val="40"/>
        </w:rPr>
      </w:pPr>
      <w:r>
        <w:rPr>
          <w:rFonts w:ascii="Atkinson Hyperlegible" w:hAnsi="Atkinson Hyperlegible" w:cs="Calibri"/>
          <w:b/>
          <w:sz w:val="40"/>
          <w:szCs w:val="40"/>
        </w:rPr>
        <w:t>di 204 unità nell’Alto Lazio</w:t>
      </w:r>
    </w:p>
    <w:p w14:paraId="7EB61056" w14:textId="77777777" w:rsidR="00580084" w:rsidRDefault="00580084" w:rsidP="003136AE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44E29AA3" w14:textId="1A340708" w:rsidR="00EA3F16" w:rsidRPr="0055106A" w:rsidRDefault="00EA3F16" w:rsidP="003136AE">
      <w:pPr>
        <w:jc w:val="both"/>
        <w:rPr>
          <w:rFonts w:ascii="Atkinson Hyperlegible" w:hAnsi="Atkinson Hyperlegible" w:cstheme="minorHAnsi"/>
          <w:bCs/>
          <w:i/>
          <w:iCs/>
          <w:shd w:val="clear" w:color="auto" w:fill="FFFFFF"/>
        </w:rPr>
      </w:pPr>
      <w:r w:rsidRPr="0055106A">
        <w:rPr>
          <w:rFonts w:ascii="Atkinson Hyperlegible" w:hAnsi="Atkinson Hyperlegible" w:cstheme="minorHAnsi"/>
          <w:bCs/>
          <w:i/>
          <w:iCs/>
          <w:shd w:val="clear" w:color="auto" w:fill="FFFFFF"/>
        </w:rPr>
        <w:t xml:space="preserve">Questa la fotografia della natimortalità imprenditoriale nelle province di Rieti e Viterbo scattata </w:t>
      </w:r>
      <w:r w:rsidR="0055106A">
        <w:rPr>
          <w:rFonts w:ascii="Atkinson Hyperlegible" w:hAnsi="Atkinson Hyperlegible" w:cstheme="minorHAnsi"/>
          <w:bCs/>
          <w:i/>
          <w:iCs/>
          <w:shd w:val="clear" w:color="auto" w:fill="FFFFFF"/>
        </w:rPr>
        <w:t xml:space="preserve">tra aprile e giugno 2025 </w:t>
      </w:r>
      <w:r w:rsidRPr="0055106A">
        <w:rPr>
          <w:rFonts w:ascii="Atkinson Hyperlegible" w:hAnsi="Atkinson Hyperlegible" w:cstheme="minorHAnsi"/>
          <w:bCs/>
          <w:i/>
          <w:iCs/>
          <w:shd w:val="clear" w:color="auto" w:fill="FFFFFF"/>
        </w:rPr>
        <w:t xml:space="preserve">nell’ambito dell’analisi trimestrale </w:t>
      </w:r>
      <w:proofErr w:type="spellStart"/>
      <w:r w:rsidRPr="0055106A">
        <w:rPr>
          <w:rFonts w:ascii="Atkinson Hyperlegible" w:hAnsi="Atkinson Hyperlegible" w:cstheme="minorHAnsi"/>
          <w:bCs/>
          <w:i/>
          <w:iCs/>
          <w:shd w:val="clear" w:color="auto" w:fill="FFFFFF"/>
        </w:rPr>
        <w:t>Movimprese</w:t>
      </w:r>
      <w:proofErr w:type="spellEnd"/>
      <w:r w:rsidRPr="0055106A">
        <w:rPr>
          <w:rFonts w:ascii="Atkinson Hyperlegible" w:hAnsi="Atkinson Hyperlegible" w:cstheme="minorHAnsi"/>
          <w:bCs/>
          <w:i/>
          <w:iCs/>
          <w:shd w:val="clear" w:color="auto" w:fill="FFFFFF"/>
        </w:rPr>
        <w:t xml:space="preserve"> condotta da Unioncamere e InfoCamere sui dati del Registro delle Imprese delle Camere di Commercio</w:t>
      </w:r>
    </w:p>
    <w:p w14:paraId="663267F9" w14:textId="77777777" w:rsidR="00EA3F16" w:rsidRDefault="00EA3F16" w:rsidP="003136AE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1A69ACC3" w14:textId="38BC47E7" w:rsidR="00EA3F16" w:rsidRPr="00EA3F16" w:rsidRDefault="00E10420" w:rsidP="00EA3F16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  <w:r>
        <w:rPr>
          <w:rFonts w:ascii="Atkinson Hyperlegible" w:hAnsi="Atkinson Hyperlegible" w:cstheme="minorHAnsi"/>
          <w:bCs/>
          <w:shd w:val="clear" w:color="auto" w:fill="FFFFFF"/>
        </w:rPr>
        <w:t>22 luglio</w:t>
      </w:r>
      <w:r w:rsidR="0014784F" w:rsidRPr="0014784F">
        <w:rPr>
          <w:rFonts w:ascii="Atkinson Hyperlegible" w:hAnsi="Atkinson Hyperlegible" w:cstheme="minorHAnsi"/>
          <w:bCs/>
          <w:shd w:val="clear" w:color="auto" w:fill="FFFFFF"/>
        </w:rPr>
        <w:t xml:space="preserve"> 2025 –</w:t>
      </w:r>
      <w:r w:rsidR="00EA3F16">
        <w:rPr>
          <w:rFonts w:ascii="Atkinson Hyperlegible" w:hAnsi="Atkinson Hyperlegible" w:cstheme="minorHAnsi"/>
          <w:bCs/>
          <w:shd w:val="clear" w:color="auto" w:fill="FFFFFF"/>
        </w:rPr>
        <w:t xml:space="preserve"> </w:t>
      </w:r>
      <w:r w:rsidR="00EA3F16" w:rsidRPr="00EA3F16">
        <w:rPr>
          <w:rFonts w:ascii="Atkinson Hyperlegible" w:hAnsi="Atkinson Hyperlegible" w:cstheme="minorHAnsi"/>
          <w:bCs/>
          <w:shd w:val="clear" w:color="auto" w:fill="FFFFFF"/>
        </w:rPr>
        <w:t>Il secondo trimestre del 2025 si chiude con un saldo positivo di 204 imprese tra iscrizioni e cessazioni per le province di Rieti e Viterbo. Questo dato contribuisce al fermento imprenditoriale che caratterizza il Paese, con un saldo positivo nazionale di +32.800 imprese nello stesso periodo, il miglior risultato degli ultimi cinque anni.</w:t>
      </w:r>
    </w:p>
    <w:p w14:paraId="4680C669" w14:textId="18296E6B" w:rsidR="00EA3F16" w:rsidRPr="00EA3F16" w:rsidRDefault="00EA3F16" w:rsidP="00EA3F16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  <w:proofErr w:type="gramStart"/>
      <w:r>
        <w:rPr>
          <w:rFonts w:ascii="Atkinson Hyperlegible" w:hAnsi="Atkinson Hyperlegible" w:cstheme="minorHAnsi"/>
          <w:bCs/>
          <w:shd w:val="clear" w:color="auto" w:fill="FFFFFF"/>
        </w:rPr>
        <w:t>E’</w:t>
      </w:r>
      <w:proofErr w:type="gramEnd"/>
      <w:r>
        <w:rPr>
          <w:rFonts w:ascii="Atkinson Hyperlegible" w:hAnsi="Atkinson Hyperlegible" w:cstheme="minorHAnsi"/>
          <w:bCs/>
          <w:shd w:val="clear" w:color="auto" w:fill="FFFFFF"/>
        </w:rPr>
        <w:t xml:space="preserve"> quanto evidenziato dall</w:t>
      </w:r>
      <w:r w:rsidRPr="00EA3F16">
        <w:rPr>
          <w:rFonts w:ascii="Atkinson Hyperlegible" w:hAnsi="Atkinson Hyperlegible" w:cstheme="minorHAnsi"/>
          <w:bCs/>
          <w:shd w:val="clear" w:color="auto" w:fill="FFFFFF"/>
        </w:rPr>
        <w:t xml:space="preserve">'analisi trimestrale </w:t>
      </w:r>
      <w:proofErr w:type="spellStart"/>
      <w:r w:rsidRPr="00EA3F16">
        <w:rPr>
          <w:rFonts w:ascii="Atkinson Hyperlegible" w:hAnsi="Atkinson Hyperlegible" w:cstheme="minorHAnsi"/>
          <w:bCs/>
          <w:shd w:val="clear" w:color="auto" w:fill="FFFFFF"/>
        </w:rPr>
        <w:t>Movimprese</w:t>
      </w:r>
      <w:proofErr w:type="spellEnd"/>
      <w:r w:rsidRPr="00EA3F16">
        <w:rPr>
          <w:rFonts w:ascii="Atkinson Hyperlegible" w:hAnsi="Atkinson Hyperlegible" w:cstheme="minorHAnsi"/>
          <w:bCs/>
          <w:shd w:val="clear" w:color="auto" w:fill="FFFFFF"/>
        </w:rPr>
        <w:t>, condotta da Unioncamere e InfoCamere,</w:t>
      </w:r>
      <w:r>
        <w:rPr>
          <w:rFonts w:ascii="Atkinson Hyperlegible" w:hAnsi="Atkinson Hyperlegible" w:cstheme="minorHAnsi"/>
          <w:bCs/>
          <w:shd w:val="clear" w:color="auto" w:fill="FFFFFF"/>
        </w:rPr>
        <w:t xml:space="preserve"> sulla base dei dati dei Registri imprese delle Camera di Commercio, che</w:t>
      </w:r>
      <w:r w:rsidRPr="00EA3F16">
        <w:rPr>
          <w:rFonts w:ascii="Atkinson Hyperlegible" w:hAnsi="Atkinson Hyperlegible" w:cstheme="minorHAnsi"/>
          <w:bCs/>
          <w:shd w:val="clear" w:color="auto" w:fill="FFFFFF"/>
        </w:rPr>
        <w:t xml:space="preserve"> evidenzia una crescita diffusa nel sistema produttivo nazionale.</w:t>
      </w:r>
    </w:p>
    <w:p w14:paraId="5DEAFD09" w14:textId="1E796C4C" w:rsidR="00EA3F16" w:rsidRPr="00EA3F16" w:rsidRDefault="00EA3F16" w:rsidP="00EA3F16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  <w:r>
        <w:rPr>
          <w:rFonts w:ascii="Atkinson Hyperlegible" w:hAnsi="Atkinson Hyperlegible" w:cstheme="minorHAnsi"/>
          <w:bCs/>
          <w:shd w:val="clear" w:color="auto" w:fill="FFFFFF"/>
        </w:rPr>
        <w:t>Nel</w:t>
      </w:r>
      <w:r w:rsidRPr="00EA3F16">
        <w:rPr>
          <w:rFonts w:ascii="Atkinson Hyperlegible" w:hAnsi="Atkinson Hyperlegible" w:cstheme="minorHAnsi"/>
          <w:bCs/>
          <w:shd w:val="clear" w:color="auto" w:fill="FFFFFF"/>
        </w:rPr>
        <w:t xml:space="preserve"> secondo trimestre 2025, la provincia di Viterbo ha registrato 445 nuove iscrizioni e 291 cessazioni, portando a un saldo positivo di 154 unità, con un tasso di crescita trimestrale dello 0,42%.</w:t>
      </w:r>
    </w:p>
    <w:p w14:paraId="5F3243E3" w14:textId="5E249563" w:rsidR="00EA3F16" w:rsidRPr="00EA3F16" w:rsidRDefault="00EA3F16" w:rsidP="00EA3F16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  <w:r w:rsidRPr="00EA3F16">
        <w:rPr>
          <w:rFonts w:ascii="Atkinson Hyperlegible" w:hAnsi="Atkinson Hyperlegible" w:cstheme="minorHAnsi"/>
          <w:bCs/>
          <w:shd w:val="clear" w:color="auto" w:fill="FFFFFF"/>
        </w:rPr>
        <w:t xml:space="preserve">La provincia di Rieti ha visto </w:t>
      </w:r>
      <w:r>
        <w:rPr>
          <w:rFonts w:ascii="Atkinson Hyperlegible" w:hAnsi="Atkinson Hyperlegible" w:cstheme="minorHAnsi"/>
          <w:bCs/>
          <w:shd w:val="clear" w:color="auto" w:fill="FFFFFF"/>
        </w:rPr>
        <w:t xml:space="preserve">invece </w:t>
      </w:r>
      <w:r w:rsidRPr="00EA3F16">
        <w:rPr>
          <w:rFonts w:ascii="Atkinson Hyperlegible" w:hAnsi="Atkinson Hyperlegible" w:cstheme="minorHAnsi"/>
          <w:bCs/>
          <w:shd w:val="clear" w:color="auto" w:fill="FFFFFF"/>
        </w:rPr>
        <w:t>191 iscrizioni e 141 cessazioni, con un saldo positivo di 50 imprese e un tasso di crescita dello 0,35%.</w:t>
      </w:r>
    </w:p>
    <w:p w14:paraId="35373F97" w14:textId="486DD295" w:rsidR="00E10420" w:rsidRDefault="00EA3F16" w:rsidP="00EA3F16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  <w:r w:rsidRPr="00EA3F16">
        <w:rPr>
          <w:rFonts w:ascii="Atkinson Hyperlegible" w:hAnsi="Atkinson Hyperlegible" w:cstheme="minorHAnsi"/>
          <w:bCs/>
          <w:shd w:val="clear" w:color="auto" w:fill="FFFFFF"/>
        </w:rPr>
        <w:t>Complessivamente, il Lazio si conferma come la regione con la migliore performance a livello nazionale, registrando un saldo attivo di 4.679 imprese e una variazione positiva dello 0,79%.</w:t>
      </w:r>
    </w:p>
    <w:p w14:paraId="69FE1215" w14:textId="494B2D6A" w:rsidR="00EA3F16" w:rsidRPr="0055106A" w:rsidRDefault="00EA3F16" w:rsidP="00EA3F16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  <w:r w:rsidRPr="00EA3F16">
        <w:rPr>
          <w:rFonts w:ascii="Atkinson Hyperlegible" w:hAnsi="Atkinson Hyperlegible" w:cstheme="minorHAnsi"/>
          <w:bCs/>
          <w:shd w:val="clear" w:color="auto" w:fill="FFFFFF"/>
        </w:rPr>
        <w:t xml:space="preserve">A Viterbo, il settore delle </w:t>
      </w:r>
      <w:r>
        <w:rPr>
          <w:rFonts w:ascii="Atkinson Hyperlegible" w:hAnsi="Atkinson Hyperlegible" w:cstheme="minorHAnsi"/>
          <w:bCs/>
          <w:shd w:val="clear" w:color="auto" w:fill="FFFFFF"/>
        </w:rPr>
        <w:t>c</w:t>
      </w:r>
      <w:r w:rsidRPr="00EA3F16">
        <w:rPr>
          <w:rFonts w:ascii="Atkinson Hyperlegible" w:hAnsi="Atkinson Hyperlegible" w:cstheme="minorHAnsi"/>
          <w:bCs/>
          <w:shd w:val="clear" w:color="auto" w:fill="FFFFFF"/>
        </w:rPr>
        <w:t xml:space="preserve">ostruzioni registra il maggior numero di nuove registrazioni (82) e un saldo positivo (37), indicando una crescita significativa dell'0,7%. Anche il </w:t>
      </w:r>
      <w:r>
        <w:rPr>
          <w:rFonts w:ascii="Atkinson Hyperlegible" w:hAnsi="Atkinson Hyperlegible" w:cstheme="minorHAnsi"/>
          <w:bCs/>
          <w:shd w:val="clear" w:color="auto" w:fill="FFFFFF"/>
        </w:rPr>
        <w:t>c</w:t>
      </w:r>
      <w:r w:rsidRPr="00EA3F16">
        <w:rPr>
          <w:rFonts w:ascii="Atkinson Hyperlegible" w:hAnsi="Atkinson Hyperlegible" w:cstheme="minorHAnsi"/>
          <w:bCs/>
          <w:shd w:val="clear" w:color="auto" w:fill="FFFFFF"/>
        </w:rPr>
        <w:t>ommercio all'ingrosso e al dettaglio, e la riparazione di autoveicoli, mostrano un buon numero di registrazioni (57) ma un leggero saldo negativo (-14), con una variazione del</w:t>
      </w:r>
      <w:r w:rsidR="00F473D2">
        <w:rPr>
          <w:rFonts w:ascii="Atkinson Hyperlegible" w:hAnsi="Atkinson Hyperlegible" w:cstheme="minorHAnsi"/>
          <w:bCs/>
          <w:shd w:val="clear" w:color="auto" w:fill="FFFFFF"/>
        </w:rPr>
        <w:t xml:space="preserve"> -</w:t>
      </w:r>
      <w:r w:rsidRPr="00EA3F16">
        <w:rPr>
          <w:rFonts w:ascii="Atkinson Hyperlegible" w:hAnsi="Atkinson Hyperlegible" w:cstheme="minorHAnsi"/>
          <w:bCs/>
          <w:shd w:val="clear" w:color="auto" w:fill="FFFFFF"/>
        </w:rPr>
        <w:t>0,</w:t>
      </w:r>
      <w:r w:rsidR="00F473D2">
        <w:rPr>
          <w:rFonts w:ascii="Atkinson Hyperlegible" w:hAnsi="Atkinson Hyperlegible" w:cstheme="minorHAnsi"/>
          <w:bCs/>
          <w:shd w:val="clear" w:color="auto" w:fill="FFFFFF"/>
        </w:rPr>
        <w:t>2</w:t>
      </w:r>
      <w:r w:rsidRPr="00EA3F16">
        <w:rPr>
          <w:rFonts w:ascii="Atkinson Hyperlegible" w:hAnsi="Atkinson Hyperlegible" w:cstheme="minorHAnsi"/>
          <w:bCs/>
          <w:shd w:val="clear" w:color="auto" w:fill="FFFFFF"/>
        </w:rPr>
        <w:t xml:space="preserve">%. Le </w:t>
      </w:r>
      <w:r>
        <w:rPr>
          <w:rFonts w:ascii="Atkinson Hyperlegible" w:hAnsi="Atkinson Hyperlegible" w:cstheme="minorHAnsi"/>
          <w:bCs/>
          <w:shd w:val="clear" w:color="auto" w:fill="FFFFFF"/>
        </w:rPr>
        <w:t>a</w:t>
      </w:r>
      <w:r w:rsidRPr="00EA3F16">
        <w:rPr>
          <w:rFonts w:ascii="Atkinson Hyperlegible" w:hAnsi="Atkinson Hyperlegible" w:cstheme="minorHAnsi"/>
          <w:bCs/>
          <w:shd w:val="clear" w:color="auto" w:fill="FFFFFF"/>
        </w:rPr>
        <w:t xml:space="preserve">ttività professionali, scientifiche e tecniche evidenziano un saldo positivo (10) e una variazione dell'1,1%, così come le </w:t>
      </w:r>
      <w:r>
        <w:rPr>
          <w:rFonts w:ascii="Atkinson Hyperlegible" w:hAnsi="Atkinson Hyperlegible" w:cstheme="minorHAnsi"/>
          <w:bCs/>
          <w:shd w:val="clear" w:color="auto" w:fill="FFFFFF"/>
        </w:rPr>
        <w:t>a</w:t>
      </w:r>
      <w:r w:rsidRPr="00EA3F16">
        <w:rPr>
          <w:rFonts w:ascii="Atkinson Hyperlegible" w:hAnsi="Atkinson Hyperlegible" w:cstheme="minorHAnsi"/>
          <w:bCs/>
          <w:shd w:val="clear" w:color="auto" w:fill="FFFFFF"/>
        </w:rPr>
        <w:t xml:space="preserve">ttività finanziarie e assicurative con un saldo di </w:t>
      </w:r>
      <w:r w:rsidR="00AD61E8">
        <w:rPr>
          <w:rFonts w:ascii="Atkinson Hyperlegible" w:hAnsi="Atkinson Hyperlegible" w:cstheme="minorHAnsi"/>
          <w:bCs/>
          <w:shd w:val="clear" w:color="auto" w:fill="FFFFFF"/>
        </w:rPr>
        <w:t>8</w:t>
      </w:r>
      <w:r w:rsidRPr="00EA3F16">
        <w:rPr>
          <w:rFonts w:ascii="Atkinson Hyperlegible" w:hAnsi="Atkinson Hyperlegible" w:cstheme="minorHAnsi"/>
          <w:bCs/>
          <w:shd w:val="clear" w:color="auto" w:fill="FFFFFF"/>
        </w:rPr>
        <w:t xml:space="preserve"> e una variazione dell'1,4%. </w:t>
      </w:r>
      <w:r w:rsidRPr="0055106A">
        <w:rPr>
          <w:rFonts w:ascii="Atkinson Hyperlegible" w:hAnsi="Atkinson Hyperlegible" w:cstheme="minorHAnsi"/>
          <w:bCs/>
          <w:shd w:val="clear" w:color="auto" w:fill="FFFFFF"/>
        </w:rPr>
        <w:t>L'agricoltura, silvicoltura e pesca, pur avendo un elevato numero di imprese registrate (10</w:t>
      </w:r>
      <w:r w:rsidR="00F473D2">
        <w:rPr>
          <w:rFonts w:ascii="Atkinson Hyperlegible" w:hAnsi="Atkinson Hyperlegible" w:cstheme="minorHAnsi"/>
          <w:bCs/>
          <w:shd w:val="clear" w:color="auto" w:fill="FFFFFF"/>
        </w:rPr>
        <w:t>.</w:t>
      </w:r>
      <w:r w:rsidRPr="0055106A">
        <w:rPr>
          <w:rFonts w:ascii="Atkinson Hyperlegible" w:hAnsi="Atkinson Hyperlegible" w:cstheme="minorHAnsi"/>
          <w:bCs/>
          <w:shd w:val="clear" w:color="auto" w:fill="FFFFFF"/>
        </w:rPr>
        <w:t xml:space="preserve">977), ha un saldo </w:t>
      </w:r>
      <w:r w:rsidR="001F76CC" w:rsidRPr="00F473D2">
        <w:rPr>
          <w:rFonts w:ascii="Atkinson Hyperlegible" w:hAnsi="Atkinson Hyperlegible" w:cstheme="minorHAnsi"/>
          <w:bCs/>
          <w:shd w:val="clear" w:color="auto" w:fill="FFFFFF"/>
        </w:rPr>
        <w:t>lievemente</w:t>
      </w:r>
      <w:r w:rsidR="001F76CC">
        <w:rPr>
          <w:rFonts w:ascii="Atkinson Hyperlegible" w:hAnsi="Atkinson Hyperlegible" w:cstheme="minorHAnsi"/>
          <w:bCs/>
          <w:shd w:val="clear" w:color="auto" w:fill="FFFFFF"/>
        </w:rPr>
        <w:t xml:space="preserve"> </w:t>
      </w:r>
      <w:r w:rsidRPr="0055106A">
        <w:rPr>
          <w:rFonts w:ascii="Atkinson Hyperlegible" w:hAnsi="Atkinson Hyperlegible" w:cstheme="minorHAnsi"/>
          <w:bCs/>
          <w:shd w:val="clear" w:color="auto" w:fill="FFFFFF"/>
        </w:rPr>
        <w:t>negativo (-</w:t>
      </w:r>
      <w:r w:rsidR="00F473D2">
        <w:rPr>
          <w:rFonts w:ascii="Atkinson Hyperlegible" w:hAnsi="Atkinson Hyperlegible" w:cstheme="minorHAnsi"/>
          <w:bCs/>
          <w:shd w:val="clear" w:color="auto" w:fill="FFFFFF"/>
        </w:rPr>
        <w:t>6</w:t>
      </w:r>
      <w:r w:rsidRPr="0055106A">
        <w:rPr>
          <w:rFonts w:ascii="Atkinson Hyperlegible" w:hAnsi="Atkinson Hyperlegible" w:cstheme="minorHAnsi"/>
          <w:bCs/>
          <w:shd w:val="clear" w:color="auto" w:fill="FFFFFF"/>
        </w:rPr>
        <w:t xml:space="preserve">). </w:t>
      </w:r>
    </w:p>
    <w:p w14:paraId="2B66788C" w14:textId="4AF20E59" w:rsidR="00EA3F16" w:rsidRPr="0055106A" w:rsidRDefault="00EA3F16" w:rsidP="00EA3F16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  <w:r w:rsidRPr="0055106A">
        <w:rPr>
          <w:rFonts w:ascii="Atkinson Hyperlegible" w:hAnsi="Atkinson Hyperlegible" w:cstheme="minorHAnsi"/>
          <w:bCs/>
          <w:shd w:val="clear" w:color="auto" w:fill="FFFFFF"/>
        </w:rPr>
        <w:t xml:space="preserve">A Rieti, il settore delle costruzioni </w:t>
      </w:r>
      <w:r w:rsidR="001F76CC">
        <w:rPr>
          <w:rFonts w:ascii="Atkinson Hyperlegible" w:hAnsi="Atkinson Hyperlegible" w:cstheme="minorHAnsi"/>
          <w:bCs/>
          <w:shd w:val="clear" w:color="auto" w:fill="FFFFFF"/>
        </w:rPr>
        <w:t xml:space="preserve">è quello con il maggior numero di iscrizioni nel trimestre </w:t>
      </w:r>
      <w:r w:rsidRPr="0055106A">
        <w:rPr>
          <w:rFonts w:ascii="Atkinson Hyperlegible" w:hAnsi="Atkinson Hyperlegible" w:cstheme="minorHAnsi"/>
          <w:bCs/>
          <w:shd w:val="clear" w:color="auto" w:fill="FFFFFF"/>
        </w:rPr>
        <w:t xml:space="preserve">(29) e un saldo positivo (4), con una variazione dello 0,2%. Le attività professionali, scientifiche e tecniche mostrano una crescita dell'1,5%. Anche il settore dei servizi di alloggio e ristorazione mostra variazioni </w:t>
      </w:r>
      <w:r w:rsidR="001F76CC">
        <w:rPr>
          <w:rFonts w:ascii="Atkinson Hyperlegible" w:hAnsi="Atkinson Hyperlegible" w:cstheme="minorHAnsi"/>
          <w:bCs/>
          <w:shd w:val="clear" w:color="auto" w:fill="FFFFFF"/>
        </w:rPr>
        <w:t xml:space="preserve">lievemente </w:t>
      </w:r>
      <w:r w:rsidRPr="0055106A">
        <w:rPr>
          <w:rFonts w:ascii="Atkinson Hyperlegible" w:hAnsi="Atkinson Hyperlegible" w:cstheme="minorHAnsi"/>
          <w:bCs/>
          <w:shd w:val="clear" w:color="auto" w:fill="FFFFFF"/>
        </w:rPr>
        <w:t xml:space="preserve">positive </w:t>
      </w:r>
      <w:r w:rsidR="00F473D2">
        <w:rPr>
          <w:rFonts w:ascii="Atkinson Hyperlegible" w:hAnsi="Atkinson Hyperlegible" w:cstheme="minorHAnsi"/>
          <w:bCs/>
          <w:shd w:val="clear" w:color="auto" w:fill="FFFFFF"/>
        </w:rPr>
        <w:lastRenderedPageBreak/>
        <w:t>(</w:t>
      </w:r>
      <w:r w:rsidR="001F76CC" w:rsidRPr="00F473D2">
        <w:rPr>
          <w:rFonts w:ascii="Atkinson Hyperlegible" w:hAnsi="Atkinson Hyperlegible" w:cstheme="minorHAnsi"/>
          <w:bCs/>
          <w:shd w:val="clear" w:color="auto" w:fill="FFFFFF"/>
        </w:rPr>
        <w:t>+</w:t>
      </w:r>
      <w:r w:rsidRPr="0055106A">
        <w:rPr>
          <w:rFonts w:ascii="Atkinson Hyperlegible" w:hAnsi="Atkinson Hyperlegible" w:cstheme="minorHAnsi"/>
          <w:bCs/>
          <w:shd w:val="clear" w:color="auto" w:fill="FFFFFF"/>
        </w:rPr>
        <w:t>0,2%</w:t>
      </w:r>
      <w:r w:rsidR="00F473D2">
        <w:rPr>
          <w:rFonts w:ascii="Atkinson Hyperlegible" w:hAnsi="Atkinson Hyperlegible" w:cstheme="minorHAnsi"/>
          <w:bCs/>
          <w:shd w:val="clear" w:color="auto" w:fill="FFFFFF"/>
        </w:rPr>
        <w:t>)</w:t>
      </w:r>
      <w:r w:rsidRPr="0055106A">
        <w:rPr>
          <w:rFonts w:ascii="Atkinson Hyperlegible" w:hAnsi="Atkinson Hyperlegible" w:cstheme="minorHAnsi"/>
          <w:bCs/>
          <w:shd w:val="clear" w:color="auto" w:fill="FFFFFF"/>
        </w:rPr>
        <w:t xml:space="preserve">. L'agricoltura, silvicoltura e pesca, come a Viterbo, registra un saldo negativo (-21). </w:t>
      </w:r>
    </w:p>
    <w:p w14:paraId="3CC80E47" w14:textId="77777777" w:rsidR="00EA3F16" w:rsidRPr="0055106A" w:rsidRDefault="00EA3F16" w:rsidP="00EA3F16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56A837CE" w14:textId="58FE6FF5" w:rsidR="002745C5" w:rsidRPr="0055106A" w:rsidRDefault="00EA3F16" w:rsidP="0014784F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  <w:r w:rsidRPr="0055106A">
        <w:rPr>
          <w:rFonts w:ascii="Atkinson Hyperlegible" w:hAnsi="Atkinson Hyperlegible" w:cstheme="minorHAnsi"/>
          <w:bCs/>
          <w:shd w:val="clear" w:color="auto" w:fill="FFFFFF"/>
        </w:rPr>
        <w:t>Per quanto riguarda le forme giuridiche</w:t>
      </w:r>
      <w:r w:rsidR="0055106A" w:rsidRPr="0055106A">
        <w:rPr>
          <w:rFonts w:ascii="Atkinson Hyperlegible" w:hAnsi="Atkinson Hyperlegible" w:cstheme="minorHAnsi"/>
          <w:bCs/>
          <w:shd w:val="clear" w:color="auto" w:fill="FFFFFF"/>
        </w:rPr>
        <w:t xml:space="preserve">, le società di capitale mostrano una crescita robusta in entrambe le province di Rieti e Viterbo. Viterbo registra un tasso di crescita del 0,99% per le società di capitale, mentre Rieti supera questa percentuale con un +1,20%. Analizzando le ditte individuali, Viterbo evidenzia un incremento dello 0,35%, mentre Rieti, al contrario, mostra una crescita più contenuta, fermandosi allo 0,09%. Le società di persone presentano un andamento meno favorevole, con Viterbo che registra un leggero calo del -0,13% e Rieti che si mantiene stabile senza alcuna variazione rispetto al trimestre precedente. Le altre forme giuridiche mostrano un aumento a Viterbo (0,19%), mentre a Rieti si osserva una lieve diminuzione (-0,16%). </w:t>
      </w:r>
    </w:p>
    <w:p w14:paraId="3A37CED5" w14:textId="77777777" w:rsidR="002745C5" w:rsidRPr="0055106A" w:rsidRDefault="002745C5" w:rsidP="0014784F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38E55761" w14:textId="77777777" w:rsidR="002745C5" w:rsidRPr="0055106A" w:rsidRDefault="002745C5" w:rsidP="0014784F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6C6586E6" w14:textId="77777777" w:rsidR="002745C5" w:rsidRPr="0055106A" w:rsidRDefault="002745C5" w:rsidP="0014784F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5E4E5D71" w14:textId="77777777" w:rsidR="002745C5" w:rsidRPr="0055106A" w:rsidRDefault="002745C5" w:rsidP="002745C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tkinson Hyperlegible" w:eastAsia="Calibri" w:hAnsi="Atkinson Hyperlegible" w:cs="Calibri"/>
          <w:b/>
          <w:color w:val="000000"/>
        </w:rPr>
      </w:pPr>
    </w:p>
    <w:p w14:paraId="2AA140D6" w14:textId="77777777" w:rsidR="002745C5" w:rsidRPr="0055106A" w:rsidRDefault="002745C5" w:rsidP="002745C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tkinson Hyperlegible" w:eastAsia="Calibri" w:hAnsi="Atkinson Hyperlegible" w:cs="Calibri"/>
          <w:b/>
          <w:color w:val="000000"/>
        </w:rPr>
      </w:pPr>
    </w:p>
    <w:p w14:paraId="49207C15" w14:textId="77777777" w:rsidR="00C4419D" w:rsidRDefault="00C4419D" w:rsidP="00C4419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tkinson Hyperlegible" w:eastAsia="Calibri" w:hAnsi="Atkinson Hyperlegible" w:cs="Calibri"/>
          <w:b/>
          <w:color w:val="000000"/>
        </w:rPr>
      </w:pPr>
      <w:r>
        <w:rPr>
          <w:rFonts w:ascii="Atkinson Hyperlegible" w:eastAsia="Calibri" w:hAnsi="Atkinson Hyperlegible" w:cs="Calibri"/>
          <w:b/>
          <w:color w:val="000000"/>
        </w:rPr>
        <w:t>Tassi</w:t>
      </w:r>
      <w:r w:rsidRPr="00C4419D">
        <w:rPr>
          <w:rFonts w:ascii="Atkinson Hyperlegible" w:eastAsia="Calibri" w:hAnsi="Atkinson Hyperlegible" w:cs="Calibri"/>
          <w:b/>
          <w:color w:val="000000"/>
        </w:rPr>
        <w:t xml:space="preserve"> di crescita trimestrali per</w:t>
      </w:r>
      <w:r>
        <w:rPr>
          <w:rFonts w:ascii="Atkinson Hyperlegible" w:eastAsia="Calibri" w:hAnsi="Atkinson Hyperlegible" w:cs="Calibri"/>
          <w:b/>
          <w:color w:val="000000"/>
        </w:rPr>
        <w:t xml:space="preserve"> le province di Rieti e Viterbo</w:t>
      </w:r>
      <w:r w:rsidRPr="00C4419D">
        <w:rPr>
          <w:rFonts w:ascii="Atkinson Hyperlegible" w:eastAsia="Calibri" w:hAnsi="Atkinson Hyperlegible" w:cs="Calibri"/>
          <w:b/>
          <w:color w:val="000000"/>
        </w:rPr>
        <w:t xml:space="preserve"> </w:t>
      </w:r>
    </w:p>
    <w:p w14:paraId="62BFDB72" w14:textId="6153062B" w:rsidR="00C4419D" w:rsidRPr="00C4419D" w:rsidRDefault="00C4419D" w:rsidP="00C4419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tkinson Hyperlegible" w:eastAsia="Calibri" w:hAnsi="Atkinson Hyperlegible" w:cs="Calibri"/>
          <w:b/>
          <w:color w:val="000000"/>
        </w:rPr>
      </w:pPr>
      <w:r>
        <w:rPr>
          <w:rFonts w:ascii="Atkinson Hyperlegible" w:eastAsia="Calibri" w:hAnsi="Atkinson Hyperlegible" w:cs="Calibri"/>
          <w:b/>
          <w:color w:val="000000"/>
        </w:rPr>
        <w:t>per forme giuridiche</w:t>
      </w:r>
    </w:p>
    <w:p w14:paraId="354BE7E0" w14:textId="77777777" w:rsidR="003C68CA" w:rsidRPr="00C4419D" w:rsidRDefault="003C68CA" w:rsidP="00C4419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tkinson Hyperlegible" w:eastAsia="Calibri" w:hAnsi="Atkinson Hyperlegible" w:cs="Calibri"/>
          <w:bCs/>
          <w:i/>
          <w:iCs/>
          <w:color w:val="000000"/>
          <w:sz w:val="20"/>
          <w:szCs w:val="20"/>
        </w:rPr>
      </w:pPr>
    </w:p>
    <w:p w14:paraId="6EB54804" w14:textId="7420F2E0" w:rsidR="002745C5" w:rsidRPr="0055106A" w:rsidRDefault="003C68CA" w:rsidP="002745C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tkinson Hyperlegible" w:eastAsia="Calibri" w:hAnsi="Atkinson Hyperlegible" w:cs="Calibri"/>
          <w:b/>
          <w:color w:val="000000"/>
        </w:rPr>
      </w:pPr>
      <w:r w:rsidRPr="0055106A">
        <w:rPr>
          <w:rFonts w:eastAsia="Calibri"/>
          <w:noProof/>
        </w:rPr>
        <w:drawing>
          <wp:inline distT="0" distB="0" distL="0" distR="0" wp14:anchorId="2F127F7A" wp14:editId="2A69AF16">
            <wp:extent cx="5400040" cy="1087149"/>
            <wp:effectExtent l="0" t="0" r="0" b="0"/>
            <wp:docPr id="965152479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087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C3DBE" w14:textId="77777777" w:rsidR="003C68CA" w:rsidRDefault="003C68CA" w:rsidP="003C68CA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tkinson Hyperlegible" w:eastAsia="Calibri" w:hAnsi="Atkinson Hyperlegible" w:cs="Calibri"/>
          <w:bCs/>
          <w:i/>
          <w:iCs/>
          <w:color w:val="000000"/>
          <w:sz w:val="20"/>
          <w:szCs w:val="20"/>
        </w:rPr>
      </w:pPr>
      <w:r w:rsidRPr="00C4419D">
        <w:rPr>
          <w:rFonts w:ascii="Atkinson Hyperlegible" w:eastAsia="Calibri" w:hAnsi="Atkinson Hyperlegible" w:cs="Calibri"/>
          <w:bCs/>
          <w:i/>
          <w:iCs/>
          <w:color w:val="000000"/>
          <w:sz w:val="20"/>
          <w:szCs w:val="20"/>
        </w:rPr>
        <w:t xml:space="preserve">Fonte: Unioncamere-InfoCamere, </w:t>
      </w:r>
      <w:proofErr w:type="spellStart"/>
      <w:r w:rsidRPr="00C4419D">
        <w:rPr>
          <w:rFonts w:ascii="Atkinson Hyperlegible" w:eastAsia="Calibri" w:hAnsi="Atkinson Hyperlegible" w:cs="Calibri"/>
          <w:bCs/>
          <w:i/>
          <w:iCs/>
          <w:color w:val="000000"/>
          <w:sz w:val="20"/>
          <w:szCs w:val="20"/>
        </w:rPr>
        <w:t>Movimprese</w:t>
      </w:r>
      <w:proofErr w:type="spellEnd"/>
    </w:p>
    <w:p w14:paraId="6AA105F0" w14:textId="73FEE255" w:rsidR="002745C5" w:rsidRPr="0055106A" w:rsidRDefault="002745C5" w:rsidP="002745C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tkinson Hyperlegible" w:eastAsia="Calibri" w:hAnsi="Atkinson Hyperlegible" w:cs="Calibri"/>
          <w:b/>
          <w:color w:val="000000"/>
        </w:rPr>
      </w:pPr>
    </w:p>
    <w:p w14:paraId="10048BAC" w14:textId="77777777" w:rsidR="002745C5" w:rsidRPr="0055106A" w:rsidRDefault="002745C5" w:rsidP="002745C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tkinson Hyperlegible" w:eastAsia="Calibri" w:hAnsi="Atkinson Hyperlegible" w:cs="Calibri"/>
          <w:b/>
          <w:color w:val="000000"/>
        </w:rPr>
      </w:pPr>
    </w:p>
    <w:p w14:paraId="54964167" w14:textId="77777777" w:rsidR="002745C5" w:rsidRPr="0055106A" w:rsidRDefault="002745C5" w:rsidP="002745C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tkinson Hyperlegible" w:eastAsia="Calibri" w:hAnsi="Atkinson Hyperlegible" w:cs="Calibri"/>
          <w:b/>
          <w:color w:val="000000"/>
        </w:rPr>
      </w:pPr>
    </w:p>
    <w:p w14:paraId="0259736A" w14:textId="77777777" w:rsidR="002745C5" w:rsidRPr="0055106A" w:rsidRDefault="002745C5" w:rsidP="002745C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tkinson Hyperlegible" w:eastAsia="Calibri" w:hAnsi="Atkinson Hyperlegible" w:cs="Calibri"/>
          <w:b/>
          <w:color w:val="000000"/>
        </w:rPr>
      </w:pPr>
    </w:p>
    <w:p w14:paraId="615F2686" w14:textId="77777777" w:rsidR="002745C5" w:rsidRPr="0055106A" w:rsidRDefault="002745C5" w:rsidP="002745C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tkinson Hyperlegible" w:eastAsia="Calibri" w:hAnsi="Atkinson Hyperlegible" w:cs="Calibri"/>
          <w:b/>
          <w:color w:val="000000"/>
        </w:rPr>
      </w:pPr>
    </w:p>
    <w:p w14:paraId="66228C81" w14:textId="77777777" w:rsidR="002745C5" w:rsidRPr="0055106A" w:rsidRDefault="002745C5" w:rsidP="002745C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tkinson Hyperlegible" w:eastAsia="Calibri" w:hAnsi="Atkinson Hyperlegible" w:cs="Calibri"/>
          <w:b/>
          <w:color w:val="000000"/>
        </w:rPr>
      </w:pPr>
    </w:p>
    <w:p w14:paraId="658F9162" w14:textId="77777777" w:rsidR="002745C5" w:rsidRPr="0055106A" w:rsidRDefault="002745C5" w:rsidP="002745C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tkinson Hyperlegible" w:eastAsia="Calibri" w:hAnsi="Atkinson Hyperlegible" w:cs="Calibri"/>
          <w:b/>
          <w:color w:val="000000"/>
        </w:rPr>
      </w:pPr>
    </w:p>
    <w:p w14:paraId="7AFA1C81" w14:textId="77777777" w:rsidR="002745C5" w:rsidRPr="0055106A" w:rsidRDefault="002745C5" w:rsidP="002745C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tkinson Hyperlegible" w:eastAsia="Calibri" w:hAnsi="Atkinson Hyperlegible" w:cs="Calibri"/>
          <w:b/>
          <w:color w:val="000000"/>
        </w:rPr>
      </w:pPr>
    </w:p>
    <w:p w14:paraId="5B66FBB2" w14:textId="77777777" w:rsidR="002745C5" w:rsidRDefault="002745C5" w:rsidP="002745C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tkinson Hyperlegible" w:eastAsia="Calibri" w:hAnsi="Atkinson Hyperlegible" w:cs="Calibri"/>
          <w:b/>
          <w:color w:val="000000"/>
        </w:rPr>
      </w:pPr>
    </w:p>
    <w:p w14:paraId="1E7DC971" w14:textId="77777777" w:rsidR="003C68CA" w:rsidRDefault="003C68CA" w:rsidP="002745C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tkinson Hyperlegible" w:eastAsia="Calibri" w:hAnsi="Atkinson Hyperlegible" w:cs="Calibri"/>
          <w:b/>
          <w:color w:val="000000"/>
        </w:rPr>
      </w:pPr>
    </w:p>
    <w:p w14:paraId="2337D3C4" w14:textId="77777777" w:rsidR="003C68CA" w:rsidRDefault="003C68CA" w:rsidP="002745C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tkinson Hyperlegible" w:eastAsia="Calibri" w:hAnsi="Atkinson Hyperlegible" w:cs="Calibri"/>
          <w:b/>
          <w:color w:val="000000"/>
        </w:rPr>
      </w:pPr>
    </w:p>
    <w:p w14:paraId="036F119C" w14:textId="77777777" w:rsidR="003C68CA" w:rsidRDefault="003C68CA" w:rsidP="002745C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tkinson Hyperlegible" w:eastAsia="Calibri" w:hAnsi="Atkinson Hyperlegible" w:cs="Calibri"/>
          <w:b/>
          <w:color w:val="000000"/>
        </w:rPr>
      </w:pPr>
    </w:p>
    <w:p w14:paraId="338DD8FA" w14:textId="77777777" w:rsidR="003C68CA" w:rsidRDefault="003C68CA" w:rsidP="002745C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tkinson Hyperlegible" w:eastAsia="Calibri" w:hAnsi="Atkinson Hyperlegible" w:cs="Calibri"/>
          <w:b/>
          <w:color w:val="000000"/>
        </w:rPr>
      </w:pPr>
    </w:p>
    <w:p w14:paraId="4DBF5D1A" w14:textId="77777777" w:rsidR="003C68CA" w:rsidRPr="0055106A" w:rsidRDefault="003C68CA" w:rsidP="002745C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tkinson Hyperlegible" w:eastAsia="Calibri" w:hAnsi="Atkinson Hyperlegible" w:cs="Calibri"/>
          <w:b/>
          <w:color w:val="000000"/>
        </w:rPr>
      </w:pPr>
    </w:p>
    <w:p w14:paraId="6B38919B" w14:textId="77777777" w:rsidR="002745C5" w:rsidRPr="0055106A" w:rsidRDefault="002745C5" w:rsidP="002745C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tkinson Hyperlegible" w:eastAsia="Calibri" w:hAnsi="Atkinson Hyperlegible" w:cs="Calibri"/>
          <w:b/>
          <w:color w:val="000000"/>
        </w:rPr>
      </w:pPr>
    </w:p>
    <w:p w14:paraId="74B933D2" w14:textId="77777777" w:rsidR="002745C5" w:rsidRPr="0055106A" w:rsidRDefault="002745C5" w:rsidP="002745C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tkinson Hyperlegible" w:eastAsia="Calibri" w:hAnsi="Atkinson Hyperlegible" w:cs="Calibri"/>
          <w:b/>
          <w:color w:val="000000"/>
        </w:rPr>
      </w:pPr>
    </w:p>
    <w:p w14:paraId="7F896924" w14:textId="77777777" w:rsidR="002745C5" w:rsidRPr="0055106A" w:rsidRDefault="002745C5" w:rsidP="002745C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tkinson Hyperlegible" w:eastAsia="Calibri" w:hAnsi="Atkinson Hyperlegible" w:cs="Calibri"/>
          <w:b/>
          <w:color w:val="000000"/>
        </w:rPr>
      </w:pPr>
    </w:p>
    <w:p w14:paraId="161903B1" w14:textId="77777777" w:rsidR="002745C5" w:rsidRPr="0055106A" w:rsidRDefault="002745C5" w:rsidP="002745C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tkinson Hyperlegible" w:eastAsia="Calibri" w:hAnsi="Atkinson Hyperlegible" w:cs="Calibri"/>
          <w:b/>
          <w:color w:val="000000"/>
        </w:rPr>
      </w:pPr>
    </w:p>
    <w:p w14:paraId="5C722928" w14:textId="77777777" w:rsidR="002745C5" w:rsidRPr="0055106A" w:rsidRDefault="002745C5" w:rsidP="002745C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tkinson Hyperlegible" w:eastAsia="Calibri" w:hAnsi="Atkinson Hyperlegible" w:cs="Calibri"/>
          <w:b/>
          <w:color w:val="000000"/>
        </w:rPr>
      </w:pPr>
    </w:p>
    <w:p w14:paraId="28D60EAA" w14:textId="77777777" w:rsidR="0055106A" w:rsidRPr="0055106A" w:rsidRDefault="0055106A" w:rsidP="002745C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tkinson Hyperlegible" w:eastAsia="Calibri" w:hAnsi="Atkinson Hyperlegible" w:cs="Calibri"/>
          <w:b/>
          <w:color w:val="000000"/>
        </w:rPr>
      </w:pPr>
    </w:p>
    <w:p w14:paraId="2F33ED83" w14:textId="77777777" w:rsidR="0055106A" w:rsidRPr="0055106A" w:rsidRDefault="0055106A" w:rsidP="002745C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tkinson Hyperlegible" w:eastAsia="Calibri" w:hAnsi="Atkinson Hyperlegible" w:cs="Calibri"/>
          <w:b/>
          <w:color w:val="000000"/>
        </w:rPr>
      </w:pPr>
    </w:p>
    <w:p w14:paraId="7CA2E2E7" w14:textId="77777777" w:rsidR="0055106A" w:rsidRPr="0055106A" w:rsidRDefault="0055106A" w:rsidP="002745C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tkinson Hyperlegible" w:eastAsia="Calibri" w:hAnsi="Atkinson Hyperlegible" w:cs="Calibri"/>
          <w:b/>
          <w:color w:val="000000"/>
        </w:rPr>
      </w:pPr>
    </w:p>
    <w:p w14:paraId="47169471" w14:textId="77777777" w:rsidR="0055106A" w:rsidRPr="0055106A" w:rsidRDefault="0055106A" w:rsidP="002745C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tkinson Hyperlegible" w:eastAsia="Calibri" w:hAnsi="Atkinson Hyperlegible" w:cs="Calibri"/>
          <w:b/>
          <w:color w:val="000000"/>
        </w:rPr>
      </w:pPr>
    </w:p>
    <w:p w14:paraId="10B1C84B" w14:textId="13A8DCBD" w:rsidR="0055106A" w:rsidRPr="0055106A" w:rsidRDefault="0055106A" w:rsidP="0055106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tkinson Hyperlegible" w:eastAsia="Calibri" w:hAnsi="Atkinson Hyperlegible" w:cs="Calibri"/>
          <w:b/>
          <w:color w:val="000000"/>
          <w:sz w:val="22"/>
          <w:szCs w:val="22"/>
        </w:rPr>
      </w:pPr>
      <w:r w:rsidRPr="0055106A">
        <w:rPr>
          <w:rFonts w:ascii="Atkinson Hyperlegible" w:eastAsia="Calibri" w:hAnsi="Atkinson Hyperlegible" w:cs="Calibri"/>
          <w:b/>
          <w:color w:val="000000"/>
          <w:sz w:val="22"/>
          <w:szCs w:val="22"/>
        </w:rPr>
        <w:t>Iscrizioni, cessazioni non d’ufficio e tassi di crescita trimestrali per settori per le province di Viterbo e Rieti</w:t>
      </w:r>
    </w:p>
    <w:p w14:paraId="4C4AA2D5" w14:textId="77777777" w:rsidR="002745C5" w:rsidRDefault="002745C5" w:rsidP="00B1192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  <w:r w:rsidRPr="002745C5">
        <w:rPr>
          <w:noProof/>
        </w:rPr>
        <w:drawing>
          <wp:inline distT="0" distB="0" distL="0" distR="0" wp14:anchorId="7333C573" wp14:editId="7F093C32">
            <wp:extent cx="5400040" cy="6851015"/>
            <wp:effectExtent l="0" t="0" r="0" b="6985"/>
            <wp:docPr id="207591870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85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EA729" w14:textId="77777777" w:rsidR="003C68CA" w:rsidRPr="0055106A" w:rsidRDefault="003C68CA" w:rsidP="003C68CA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tkinson Hyperlegible" w:eastAsia="Calibri" w:hAnsi="Atkinson Hyperlegible" w:cs="Calibri"/>
          <w:bCs/>
          <w:i/>
          <w:iCs/>
          <w:color w:val="000000"/>
          <w:sz w:val="20"/>
          <w:szCs w:val="20"/>
        </w:rPr>
      </w:pPr>
      <w:r w:rsidRPr="0055106A">
        <w:rPr>
          <w:rFonts w:ascii="Atkinson Hyperlegible" w:eastAsia="Calibri" w:hAnsi="Atkinson Hyperlegible" w:cs="Calibri"/>
          <w:bCs/>
          <w:i/>
          <w:iCs/>
          <w:color w:val="000000"/>
          <w:sz w:val="20"/>
          <w:szCs w:val="20"/>
        </w:rPr>
        <w:t xml:space="preserve">Fonte: Ufficio Statistica Camera di Commercio di Rieti Viterbo su dati Unioncamere Infocamere, </w:t>
      </w:r>
      <w:proofErr w:type="spellStart"/>
      <w:r w:rsidRPr="0055106A">
        <w:rPr>
          <w:rFonts w:ascii="Atkinson Hyperlegible" w:eastAsia="Calibri" w:hAnsi="Atkinson Hyperlegible" w:cs="Calibri"/>
          <w:bCs/>
          <w:i/>
          <w:iCs/>
          <w:color w:val="000000"/>
          <w:sz w:val="20"/>
          <w:szCs w:val="20"/>
        </w:rPr>
        <w:t>Movimprese</w:t>
      </w:r>
      <w:proofErr w:type="spellEnd"/>
      <w:r>
        <w:rPr>
          <w:rFonts w:ascii="Atkinson Hyperlegible" w:eastAsia="Calibri" w:hAnsi="Atkinson Hyperlegible" w:cs="Calibri"/>
          <w:bCs/>
          <w:i/>
          <w:iCs/>
          <w:color w:val="000000"/>
          <w:sz w:val="20"/>
          <w:szCs w:val="20"/>
        </w:rPr>
        <w:t>. Nota: per cessazioni si intendono le cessazioni non d’ufficio</w:t>
      </w:r>
    </w:p>
    <w:p w14:paraId="7C208C27" w14:textId="77777777" w:rsidR="002745C5" w:rsidRDefault="002745C5" w:rsidP="00B1192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2D46B9C3" w14:textId="77777777" w:rsidR="002745C5" w:rsidRDefault="002745C5" w:rsidP="00B1192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243655C3" w14:textId="77777777" w:rsidR="003C68CA" w:rsidRDefault="003C68CA" w:rsidP="00B1192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7EC53795" w14:textId="77777777" w:rsidR="002745C5" w:rsidRDefault="002745C5" w:rsidP="00B1192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1A9AF5D6" w14:textId="77777777" w:rsidR="002745C5" w:rsidRDefault="002745C5" w:rsidP="002745C5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661C40AE" w14:textId="1D5D55EA" w:rsidR="002745C5" w:rsidRPr="0055106A" w:rsidRDefault="002745C5" w:rsidP="002745C5">
      <w:pPr>
        <w:jc w:val="both"/>
        <w:rPr>
          <w:rFonts w:ascii="Atkinson Hyperlegible" w:hAnsi="Atkinson Hyperlegible" w:cstheme="minorHAnsi"/>
          <w:b/>
          <w:sz w:val="22"/>
          <w:szCs w:val="22"/>
          <w:shd w:val="clear" w:color="auto" w:fill="FFFFFF"/>
        </w:rPr>
      </w:pPr>
      <w:r w:rsidRPr="0055106A">
        <w:rPr>
          <w:rFonts w:ascii="Atkinson Hyperlegible" w:hAnsi="Atkinson Hyperlegible" w:cstheme="minorHAnsi"/>
          <w:b/>
          <w:sz w:val="22"/>
          <w:szCs w:val="22"/>
          <w:shd w:val="clear" w:color="auto" w:fill="FFFFFF"/>
        </w:rPr>
        <w:t>TOTALE IMPRESE – II trimestre 2025</w:t>
      </w:r>
      <w:r w:rsidR="003C68CA">
        <w:rPr>
          <w:rFonts w:ascii="Atkinson Hyperlegible" w:hAnsi="Atkinson Hyperlegible" w:cstheme="minorHAnsi"/>
          <w:b/>
          <w:sz w:val="22"/>
          <w:szCs w:val="22"/>
          <w:shd w:val="clear" w:color="auto" w:fill="FFFFFF"/>
        </w:rPr>
        <w:t xml:space="preserve"> </w:t>
      </w:r>
      <w:r w:rsidRPr="0055106A">
        <w:rPr>
          <w:rFonts w:ascii="Atkinson Hyperlegible" w:hAnsi="Atkinson Hyperlegible" w:cstheme="minorHAnsi"/>
          <w:b/>
          <w:sz w:val="22"/>
          <w:szCs w:val="22"/>
          <w:shd w:val="clear" w:color="auto" w:fill="FFFFFF"/>
        </w:rPr>
        <w:t xml:space="preserve">Iscrizioni, cessazioni, saldi e tassi di crescita trimestrali per </w:t>
      </w:r>
      <w:proofErr w:type="gramStart"/>
      <w:r w:rsidRPr="0055106A">
        <w:rPr>
          <w:rFonts w:ascii="Atkinson Hyperlegible" w:hAnsi="Atkinson Hyperlegible" w:cstheme="minorHAnsi"/>
          <w:b/>
          <w:sz w:val="22"/>
          <w:szCs w:val="22"/>
          <w:shd w:val="clear" w:color="auto" w:fill="FFFFFF"/>
        </w:rPr>
        <w:t>province</w:t>
      </w:r>
      <w:r w:rsidR="00572870">
        <w:rPr>
          <w:rFonts w:ascii="Atkinson Hyperlegible" w:hAnsi="Atkinson Hyperlegible" w:cstheme="minorHAnsi"/>
          <w:b/>
          <w:sz w:val="22"/>
          <w:szCs w:val="22"/>
          <w:shd w:val="clear" w:color="auto" w:fill="FFFFFF"/>
        </w:rPr>
        <w:t xml:space="preserve"> </w:t>
      </w:r>
      <w:r w:rsidR="003C68CA">
        <w:rPr>
          <w:rFonts w:ascii="Atkinson Hyperlegible" w:hAnsi="Atkinson Hyperlegible" w:cstheme="minorHAnsi"/>
          <w:b/>
          <w:sz w:val="22"/>
          <w:szCs w:val="22"/>
          <w:shd w:val="clear" w:color="auto" w:fill="FFFFFF"/>
        </w:rPr>
        <w:t xml:space="preserve"> </w:t>
      </w:r>
      <w:r w:rsidRPr="0055106A">
        <w:rPr>
          <w:rFonts w:ascii="Atkinson Hyperlegible" w:hAnsi="Atkinson Hyperlegible" w:cstheme="minorHAnsi"/>
          <w:b/>
          <w:sz w:val="22"/>
          <w:szCs w:val="22"/>
          <w:shd w:val="clear" w:color="auto" w:fill="FFFFFF"/>
        </w:rPr>
        <w:t>Valori</w:t>
      </w:r>
      <w:proofErr w:type="gramEnd"/>
      <w:r w:rsidRPr="0055106A">
        <w:rPr>
          <w:rFonts w:ascii="Atkinson Hyperlegible" w:hAnsi="Atkinson Hyperlegible" w:cstheme="minorHAnsi"/>
          <w:b/>
          <w:sz w:val="22"/>
          <w:szCs w:val="22"/>
          <w:shd w:val="clear" w:color="auto" w:fill="FFFFFF"/>
        </w:rPr>
        <w:t xml:space="preserve"> assoluti e tassi di crescita % rispetto al trimestre precedente</w:t>
      </w:r>
    </w:p>
    <w:p w14:paraId="29216D9E" w14:textId="4533C888" w:rsidR="002745C5" w:rsidRPr="0055106A" w:rsidRDefault="002745C5" w:rsidP="002745C5">
      <w:pPr>
        <w:jc w:val="both"/>
        <w:rPr>
          <w:rFonts w:ascii="Atkinson Hyperlegible" w:hAnsi="Atkinson Hyperlegible" w:cstheme="minorHAnsi"/>
          <w:bCs/>
          <w:sz w:val="20"/>
          <w:szCs w:val="20"/>
          <w:shd w:val="clear" w:color="auto" w:fill="FFFFFF"/>
        </w:rPr>
      </w:pPr>
    </w:p>
    <w:tbl>
      <w:tblPr>
        <w:tblpPr w:leftFromText="141" w:rightFromText="141" w:vertAnchor="text" w:horzAnchor="page" w:tblpX="1201" w:tblpY="78"/>
        <w:tblW w:w="5000" w:type="pct"/>
        <w:tblLayout w:type="fixed"/>
        <w:tblLook w:val="0000" w:firstRow="0" w:lastRow="0" w:firstColumn="0" w:lastColumn="0" w:noHBand="0" w:noVBand="0"/>
      </w:tblPr>
      <w:tblGrid>
        <w:gridCol w:w="1176"/>
        <w:gridCol w:w="678"/>
        <w:gridCol w:w="764"/>
        <w:gridCol w:w="804"/>
        <w:gridCol w:w="804"/>
        <w:gridCol w:w="236"/>
        <w:gridCol w:w="997"/>
        <w:gridCol w:w="787"/>
        <w:gridCol w:w="702"/>
        <w:gridCol w:w="757"/>
        <w:gridCol w:w="799"/>
      </w:tblGrid>
      <w:tr w:rsidR="003C68CA" w14:paraId="3AC8B64E" w14:textId="77777777" w:rsidTr="003C68CA">
        <w:trPr>
          <w:trHeight w:val="450"/>
        </w:trPr>
        <w:tc>
          <w:tcPr>
            <w:tcW w:w="69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B137723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4CE79FD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Iscrizioni</w:t>
            </w:r>
          </w:p>
        </w:tc>
        <w:tc>
          <w:tcPr>
            <w:tcW w:w="44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02ADDE9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Cessazioni</w:t>
            </w:r>
          </w:p>
        </w:tc>
        <w:tc>
          <w:tcPr>
            <w:tcW w:w="47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7902F46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Saldo trimestrale</w:t>
            </w:r>
          </w:p>
        </w:tc>
        <w:tc>
          <w:tcPr>
            <w:tcW w:w="47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1728565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Tasso di crescita trimestrale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</w:tcPr>
          <w:p w14:paraId="41743BEC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32BAA79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6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D37A059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Iscrizioni</w:t>
            </w:r>
          </w:p>
        </w:tc>
        <w:tc>
          <w:tcPr>
            <w:tcW w:w="41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A0F5F9B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Cessazioni</w:t>
            </w:r>
          </w:p>
        </w:tc>
        <w:tc>
          <w:tcPr>
            <w:tcW w:w="44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AD39F03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Saldo trimestrale</w:t>
            </w:r>
          </w:p>
        </w:tc>
        <w:tc>
          <w:tcPr>
            <w:tcW w:w="47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38830E6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Tasso di crescita trimestrale</w:t>
            </w:r>
          </w:p>
        </w:tc>
      </w:tr>
      <w:tr w:rsidR="003C68CA" w14:paraId="58B11B37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6A481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AGRIGENTO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1BE5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557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08C91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320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2D528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237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C47D5A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0,58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9E440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63D26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MESSINA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4A2BD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711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3EE86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398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2578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313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85CA5C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0,50</w:t>
            </w:r>
          </w:p>
        </w:tc>
      </w:tr>
      <w:tr w:rsidR="003C68CA" w14:paraId="385870C9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DE71F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ALESSANDRIA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85772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466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F7952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354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EE0E8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AF9B9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1E90C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63386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MILANO 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35E10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6.197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C8978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3.052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628B86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3.145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F5FBC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0,81</w:t>
            </w:r>
          </w:p>
        </w:tc>
      </w:tr>
      <w:tr w:rsidR="003C68CA" w14:paraId="37CC2EF8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B9F6B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ANCONA 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FA1E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481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26F6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328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77EE6C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028DAF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0,41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2545A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B0279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MODENA 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AA684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1.091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2BF2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645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CC845A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446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FE3F38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0,64</w:t>
            </w:r>
          </w:p>
        </w:tc>
      </w:tr>
      <w:tr w:rsidR="003C68CA" w14:paraId="7373E9C9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2C1F4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AOSTA  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769A8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175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D3ED4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105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501AF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27484C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0,57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D9242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0B12F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MONZA E BRIANZA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A55A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1.057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4D1F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596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8CD85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461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F155C4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0,64</w:t>
            </w:r>
          </w:p>
        </w:tc>
      </w:tr>
      <w:tr w:rsidR="003C68CA" w14:paraId="358DF559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CBCF4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AREZZO 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9BD12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419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752F9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285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6708F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D035A9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0,38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7823D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C42F1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NAPOLI 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0D6C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4.547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CE8EA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2.645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A01135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1.902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C0DA92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0,63</w:t>
            </w:r>
          </w:p>
        </w:tc>
      </w:tr>
      <w:tr w:rsidR="003C68CA" w14:paraId="75B4696F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A16CC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ASCOLI PICENO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9642D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295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50AE9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147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204A2A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C9E59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0,70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A410F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EBD8F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NOVARA 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ADA02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395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A6E5F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251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18FEB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F081E8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0,50</w:t>
            </w:r>
          </w:p>
        </w:tc>
      </w:tr>
      <w:tr w:rsidR="003C68CA" w14:paraId="0F87AADF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DC475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ASTI   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67D2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253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CAB19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163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C94B4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41A731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0,41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7C890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5F3E9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NUORO  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B02F1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319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CB476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205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53F5B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059DE8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0,37</w:t>
            </w:r>
          </w:p>
        </w:tc>
      </w:tr>
      <w:tr w:rsidR="003C68CA" w14:paraId="0E1D70BD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2DB77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AVELLINO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A55C0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443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8615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309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1B4876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B7990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68A4A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436AF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ORISTANO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2D6E1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135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A4085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91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D9EC6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50280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0,32</w:t>
            </w:r>
          </w:p>
        </w:tc>
      </w:tr>
      <w:tr w:rsidR="003C68CA" w14:paraId="72E6F80D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AB95C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BARI   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5C8D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2.058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62EA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957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889B02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1.101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F432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0,80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F8462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6884F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PADOVA 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7F6F9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1.200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A71B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743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A6436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432B74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0,49</w:t>
            </w:r>
          </w:p>
        </w:tc>
      </w:tr>
      <w:tr w:rsidR="003C68CA" w14:paraId="7EF01850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6EEC1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BELLUNO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22878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772F1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125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2137E1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6992A6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0,56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BB0F7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0B239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PALERMO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1FAEA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1.255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3C46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867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42F571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388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CECF36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0,38</w:t>
            </w:r>
          </w:p>
        </w:tc>
      </w:tr>
      <w:tr w:rsidR="003C68CA" w14:paraId="508321C7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1C320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BENEVENTO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78B72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334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D9909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222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64DB96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490A38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9E294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6389B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PARMA  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6814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572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A5B02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387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2229E0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D618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0,43</w:t>
            </w:r>
          </w:p>
        </w:tc>
      </w:tr>
      <w:tr w:rsidR="003C68CA" w14:paraId="7309D32F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3AFCD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BERGAMO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C3A8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1.226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DBB22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763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D0F7D2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463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BFFF6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0,51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67454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986CB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PAVIA  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4F024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601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D591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366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2084A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235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8EC435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0,53</w:t>
            </w:r>
          </w:p>
        </w:tc>
      </w:tr>
      <w:tr w:rsidR="003C68CA" w14:paraId="181EADCF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7992D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BIELLA 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C2AC9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186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26040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134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F33B10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2D970C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89713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8AD82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PERUGIA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54CF1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866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55EA4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563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2C900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303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9EE75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0,44</w:t>
            </w:r>
          </w:p>
        </w:tc>
      </w:tr>
      <w:tr w:rsidR="003C68CA" w14:paraId="0F5AC909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E9B90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BOLOGNA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2DA7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1.303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3406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772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EB567D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531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1B89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0,58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2BDF7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E690B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PESARO E URBINO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0D3A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353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50696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246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5A7C90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97282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0,32</w:t>
            </w:r>
          </w:p>
        </w:tc>
      </w:tr>
      <w:tr w:rsidR="003C68CA" w14:paraId="4D857BD0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F0FA6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BOLZANO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821AF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826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0E9E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386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7A06A8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440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5E164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0,71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A5573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CEF92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PESCARA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FA93A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476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BF334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288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E09A0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188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C42328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0,52</w:t>
            </w:r>
          </w:p>
        </w:tc>
      </w:tr>
      <w:tr w:rsidR="003C68CA" w14:paraId="4FBBF1D1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BC2F1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BRESCIA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24C00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1.637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A7B88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889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7200F2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748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9B3D85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0,64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40FF3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4C834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PIACENZA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12E28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315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4A860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205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3C1750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57008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0,39</w:t>
            </w:r>
          </w:p>
        </w:tc>
      </w:tr>
      <w:tr w:rsidR="003C68CA" w14:paraId="50FB011D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8B04B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BRINDISI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0377D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504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D9532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260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817064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C15BE8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0,63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FBA3C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85973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PISA   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C7FD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610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07C78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361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93F7FD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9D6A12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0,61</w:t>
            </w:r>
          </w:p>
        </w:tc>
      </w:tr>
      <w:tr w:rsidR="003C68CA" w14:paraId="5CE2B9A7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6A7CD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CAGLIARI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03D6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882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FD79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558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F2A94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324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913E5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0,48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26461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1BAF9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PISTOIA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EC53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412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091E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314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59B989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2F913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0,32</w:t>
            </w:r>
          </w:p>
        </w:tc>
      </w:tr>
      <w:tr w:rsidR="003C68CA" w14:paraId="12AA4C1E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9313C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CALTANISSETTA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27E0C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290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A757D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208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A2DC8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CAFE6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E06AA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27469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PORDENONE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8B30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312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8763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217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3D27E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309AA9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0,38</w:t>
            </w:r>
          </w:p>
        </w:tc>
      </w:tr>
      <w:tr w:rsidR="003C68CA" w14:paraId="07295AD1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6E527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CAMPOBASSO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1E33C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326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7350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250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39811D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1B2B3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6F783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23E86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POTENZA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55DAA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405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72B6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218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7A11A5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187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03DC5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0,51</w:t>
            </w:r>
          </w:p>
        </w:tc>
      </w:tr>
      <w:tr w:rsidR="003C68CA" w14:paraId="3102C973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DA98A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CASERTA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DF404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1.235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711F9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773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F95319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462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F5D785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0,48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A09AB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1C4CE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PRATO  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7EAF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676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D5D7F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453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589639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223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87CE50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0,67</w:t>
            </w:r>
          </w:p>
        </w:tc>
      </w:tr>
      <w:tr w:rsidR="003C68CA" w14:paraId="7D4426B6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71A51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CATANIA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97196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1.518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7715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788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D4EFF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730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061E16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CFF8B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45142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RAGUSA 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E420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439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87D81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254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83B214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53788A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0,53</w:t>
            </w:r>
          </w:p>
        </w:tc>
      </w:tr>
      <w:tr w:rsidR="003C68CA" w14:paraId="1AB498D5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E197D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CATANZARO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4B689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404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B95B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320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FB4F5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FAFD8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0,26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9D964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5CF0E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RAVENNA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5447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428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19214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DF04C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883DB9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0,33</w:t>
            </w:r>
          </w:p>
        </w:tc>
      </w:tr>
      <w:tr w:rsidR="003C68CA" w14:paraId="329DAAC9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7E6D1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CHIETI 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EA5AF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483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7088A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246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BF4112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237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300616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0,55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65CD2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3D487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REGGIO CALABRIA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D42F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506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FDF2A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403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146BF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A3C3D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0,20</w:t>
            </w:r>
          </w:p>
        </w:tc>
      </w:tr>
      <w:tr w:rsidR="003C68CA" w14:paraId="38BADBA8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DAF2B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COMO   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5EFC5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698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C28A9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373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60E244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325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D522B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0,68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2BD45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3EFA3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REGGIO EMILIA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D057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723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6E05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472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897EF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251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99861D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0,48</w:t>
            </w:r>
          </w:p>
        </w:tc>
      </w:tr>
      <w:tr w:rsidR="003C68CA" w14:paraId="5EE55606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97CB1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COSENZA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18922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835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6E0D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467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9CDCA5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368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C96A6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0,56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4B230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4A611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RIETI  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3B0B9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191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F54D2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141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D5A4D4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12DC2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0,35</w:t>
            </w:r>
          </w:p>
        </w:tc>
      </w:tr>
      <w:tr w:rsidR="003C68CA" w14:paraId="0508A477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20943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CREMONA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A0416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373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BBB6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253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211831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A9C500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7697D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6CE1A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RIMINI 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DB8A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529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1A62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349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5FE496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D10DBC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0,46</w:t>
            </w:r>
          </w:p>
        </w:tc>
      </w:tr>
      <w:tr w:rsidR="003C68CA" w14:paraId="4577DB80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A216D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CROTONE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13548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216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5C719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160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93EFE9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6791B8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DEBAD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72FA7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ROMA   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BF169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7.047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91785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3.198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082302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3.849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3C77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0,88</w:t>
            </w:r>
          </w:p>
        </w:tc>
      </w:tr>
      <w:tr w:rsidR="003C68CA" w14:paraId="47CE1139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C8AFA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CUNEO  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C6B9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812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95B3A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555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CD76D9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257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550DD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0D4FD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7A654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ROVIGO 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4DC1A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304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CA76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257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5E67E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C56C08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0,19</w:t>
            </w:r>
          </w:p>
        </w:tc>
      </w:tr>
      <w:tr w:rsidR="003C68CA" w14:paraId="1A42B59E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798E4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ENNA   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12CD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167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2B915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121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32734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93E828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E2086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26DED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SALERNO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FEE3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1.522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3B5DD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961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B4A424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561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09F681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0,47</w:t>
            </w:r>
          </w:p>
        </w:tc>
      </w:tr>
      <w:tr w:rsidR="003C68CA" w14:paraId="45072104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E2087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FERMO  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2A260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207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C13B8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142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D415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5FF1E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0,35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11D11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4D457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SASSARI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2EC2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706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AE9F0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354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BD7E7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352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AA8D9A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0,65</w:t>
            </w:r>
          </w:p>
        </w:tc>
      </w:tr>
      <w:tr w:rsidR="003C68CA" w14:paraId="00C4B86E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A68A6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FERRARA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D8C1D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368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4E5EA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286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51062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52704C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0,26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ACE48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85C3F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SAVONA 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7D0A6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393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C6292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214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EE54F4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3DED48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0,63</w:t>
            </w:r>
          </w:p>
        </w:tc>
      </w:tr>
      <w:tr w:rsidR="003C68CA" w14:paraId="1A31B86A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3FC33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FIRENZE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EF8C2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1.403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A13B6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892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C31E8F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511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782E1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CEF8A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E4A0A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SIENA  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B315C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293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15416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203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23BCA4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08A1BD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0,33</w:t>
            </w:r>
          </w:p>
        </w:tc>
      </w:tr>
      <w:tr w:rsidR="003C68CA" w14:paraId="2210CE22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C6B71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FOGGIA 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2729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1.043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3E37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554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19A618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489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5AF1A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0,70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B3DC1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CEFA0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SIRACUSA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1B72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519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C0779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326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375830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193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3F2239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0,52</w:t>
            </w:r>
          </w:p>
        </w:tc>
      </w:tr>
      <w:tr w:rsidR="003C68CA" w14:paraId="169C9A9E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0B7A1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FORLI' - CESENA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18E0D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474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37E95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337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DC0FB1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52D2E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23E24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6AA79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SONDRIO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6A1B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180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61D4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80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CE110C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70D4B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0,73</w:t>
            </w:r>
          </w:p>
        </w:tc>
      </w:tr>
      <w:tr w:rsidR="003C68CA" w14:paraId="3319EC02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44CBC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FROSINONE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077A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639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B13B8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363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902959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276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F1B50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0,58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7C00D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F9374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TARANTO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8B615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623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E480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442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0E0CE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1119DD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0,35</w:t>
            </w:r>
          </w:p>
        </w:tc>
      </w:tr>
      <w:tr w:rsidR="003C68CA" w14:paraId="73BC8567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FCF76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GENOVA 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6A754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958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E039A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662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2D0CB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296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4E16F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0,35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48C1A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F9105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TERAMO 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B42E8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422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2B32C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287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206040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1932B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0,38</w:t>
            </w:r>
          </w:p>
        </w:tc>
      </w:tr>
      <w:tr w:rsidR="003C68CA" w14:paraId="7F644DC0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6AD37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GORIZIA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FE6ED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160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B0B09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84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33125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5364A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0,81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A2F38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2402C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TERNI  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4C71A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278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71898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172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B76B7D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A3864F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0,49</w:t>
            </w:r>
          </w:p>
        </w:tc>
      </w:tr>
      <w:tr w:rsidR="003C68CA" w14:paraId="38B59A9B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7C2C6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lastRenderedPageBreak/>
              <w:t xml:space="preserve">GROSSETO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801D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338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C769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200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5F647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9EE81F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0,48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BEFDD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DBBD8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TORINO 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BF6AD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3.219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3474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2.090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9349F0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1.129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88446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0,51</w:t>
            </w:r>
          </w:p>
        </w:tc>
      </w:tr>
      <w:tr w:rsidR="003C68CA" w14:paraId="10F5C11A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90F11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IMPERIA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3C216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387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9A7B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236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A35279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9FBAA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7A80E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6D456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TRAPANI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CCA60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619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C8445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371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AAF1CF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248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0B422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0,52</w:t>
            </w:r>
          </w:p>
        </w:tc>
      </w:tr>
      <w:tr w:rsidR="003C68CA" w14:paraId="74583EBA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DC61B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ISERNIA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5D479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4F78D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75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9D50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DD8014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72448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7ADA7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TRENTO 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DD52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589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7322C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299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9CCF9A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D5061C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0,57</w:t>
            </w:r>
          </w:p>
        </w:tc>
      </w:tr>
      <w:tr w:rsidR="003C68CA" w14:paraId="6A0DFBF6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B6E9C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L'AQUILA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F5F6A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347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C5261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255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12A28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6B0EF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A93D8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68515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TREVISO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C58A2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1.089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12F2C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608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BB692C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481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BEB40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0,58</w:t>
            </w:r>
          </w:p>
        </w:tc>
      </w:tr>
      <w:tr w:rsidR="003C68CA" w14:paraId="0C2AF379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7F0D9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LA SPEZIA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F7E90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729F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163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B19F6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E095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0,67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A1CC9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F295A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TRIESTE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255D5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251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3BB3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149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215FC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65383A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0,65</w:t>
            </w:r>
          </w:p>
        </w:tc>
      </w:tr>
      <w:tr w:rsidR="003C68CA" w14:paraId="2C30CCF9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B19BC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LATINA 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724A8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784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5EEF6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434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1D3A78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350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58E50A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0,62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76323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2F987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UDINE  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B724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537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BFD8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368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95DC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169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ECD25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0,36</w:t>
            </w:r>
          </w:p>
        </w:tc>
      </w:tr>
      <w:tr w:rsidR="003C68CA" w14:paraId="3BBD7DE1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43FB3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LECCE  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CAEA9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1.163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5742A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670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86693F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493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803E46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0,66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1D998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59812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VARESE 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7F47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877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AFBF5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577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60C7C9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DD456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0,45</w:t>
            </w:r>
          </w:p>
        </w:tc>
      </w:tr>
      <w:tr w:rsidR="003C68CA" w14:paraId="1536B48D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2F04F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LECCO  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A032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328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7E422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212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F7B4A9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DA75BC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0,47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38BEF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C131C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VENEZIA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5F75A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1.130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F4442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568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8A8EE4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562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987E6C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0,75</w:t>
            </w:r>
          </w:p>
        </w:tc>
      </w:tr>
      <w:tr w:rsidR="003C68CA" w14:paraId="61BE42B2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94B5A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LIVORNO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CBC7F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412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83745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311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DD1176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F3829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64AA0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9BF8E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VERBANIA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685D9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140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9B8CF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102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03DB61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03ED94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0,31</w:t>
            </w:r>
          </w:p>
        </w:tc>
      </w:tr>
      <w:tr w:rsidR="003C68CA" w14:paraId="65B5E795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19149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LODI   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F8991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245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D56A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164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02B38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AE91AC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0,51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73378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E8772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VERCELLI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ED5D6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196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E6024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133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DB000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9DA454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0,43</w:t>
            </w:r>
          </w:p>
        </w:tc>
      </w:tr>
      <w:tr w:rsidR="003C68CA" w14:paraId="68CB372F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21A65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LUCCA  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B514F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570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B1B8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330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4B6C4C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67541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D09B1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9A549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VERONA 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6E77D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1.197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B9DE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758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D635C8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439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DA2BB2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0,48</w:t>
            </w:r>
          </w:p>
        </w:tc>
      </w:tr>
      <w:tr w:rsidR="003C68CA" w14:paraId="3A32F754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0F903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MACERATA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DDA5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423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EAEFA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255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2B5F1A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EC175B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8A64C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079D7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VIBO VALENTIA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F0AD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203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FBCDC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105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7D2D32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3BB8F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0,70</w:t>
            </w:r>
          </w:p>
        </w:tc>
      </w:tr>
      <w:tr w:rsidR="003C68CA" w14:paraId="55FC5BC7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71C12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MANTOVA      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CAE1D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401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064A1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315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14303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86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94B1B8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29B56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E149F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VICENZA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A048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994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DB1E6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629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9E9720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365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886E8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0,47</w:t>
            </w:r>
          </w:p>
        </w:tc>
      </w:tr>
      <w:tr w:rsidR="003C68CA" w14:paraId="12EAF180" w14:textId="77777777" w:rsidTr="003C68CA">
        <w:trPr>
          <w:trHeight w:val="225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9D7E7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MASSA CARRARA       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CA75E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242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D6A96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141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9EC121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63D126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0,48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B9E8F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EA241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VITERBO            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343F9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445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36F50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291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E23151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8AE7C9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0,42</w:t>
            </w:r>
          </w:p>
        </w:tc>
      </w:tr>
      <w:tr w:rsidR="003C68CA" w14:paraId="6666F36B" w14:textId="77777777" w:rsidTr="003C68CA">
        <w:trPr>
          <w:trHeight w:val="240"/>
        </w:trPr>
        <w:tc>
          <w:tcPr>
            <w:tcW w:w="691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5A3F690E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3C68CA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MATERA             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DAE28B5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213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2D5C93CD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sz w:val="18"/>
                <w:szCs w:val="18"/>
              </w:rPr>
              <w:t>152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539EF67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146208A7" w14:textId="77777777" w:rsidR="002745C5" w:rsidRPr="000E1FE2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8"/>
                <w:szCs w:val="18"/>
              </w:rPr>
            </w:pPr>
            <w:r w:rsidRPr="000E1FE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2A4D8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AAAB275" w14:textId="77777777" w:rsidR="002745C5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ITALIA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18D10FD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7"/>
                <w:szCs w:val="17"/>
              </w:rPr>
            </w:pPr>
            <w:r w:rsidRPr="003C68CA">
              <w:rPr>
                <w:rFonts w:asciiTheme="majorHAnsi" w:hAnsiTheme="majorHAnsi" w:cstheme="majorHAnsi"/>
                <w:b/>
                <w:bCs/>
                <w:sz w:val="17"/>
                <w:szCs w:val="17"/>
              </w:rPr>
              <w:t>80.205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0BD195A0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color w:val="000000"/>
                <w:sz w:val="17"/>
                <w:szCs w:val="17"/>
              </w:rPr>
            </w:pPr>
            <w:r w:rsidRPr="003C68CA">
              <w:rPr>
                <w:rFonts w:asciiTheme="majorHAnsi" w:hAnsiTheme="majorHAnsi" w:cstheme="majorHAnsi"/>
                <w:b/>
                <w:bCs/>
                <w:sz w:val="17"/>
                <w:szCs w:val="17"/>
              </w:rPr>
              <w:t>47.405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0265DB31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b/>
                <w:color w:val="000000"/>
                <w:sz w:val="17"/>
                <w:szCs w:val="17"/>
              </w:rPr>
            </w:pPr>
            <w:r w:rsidRPr="003C68CA">
              <w:rPr>
                <w:rFonts w:asciiTheme="majorHAnsi" w:hAnsiTheme="majorHAnsi" w:cstheme="majorHAnsi"/>
                <w:b/>
                <w:color w:val="000000"/>
                <w:sz w:val="17"/>
                <w:szCs w:val="17"/>
              </w:rPr>
              <w:t>32.800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1896A5E5" w14:textId="77777777" w:rsidR="002745C5" w:rsidRPr="003C68CA" w:rsidRDefault="002745C5" w:rsidP="003C6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Theme="majorHAnsi" w:eastAsia="Calibri" w:hAnsiTheme="majorHAnsi" w:cstheme="majorHAnsi"/>
                <w:b/>
                <w:color w:val="000000"/>
                <w:sz w:val="17"/>
                <w:szCs w:val="17"/>
              </w:rPr>
            </w:pPr>
            <w:r w:rsidRPr="003C68CA">
              <w:rPr>
                <w:rFonts w:asciiTheme="majorHAnsi" w:hAnsiTheme="majorHAnsi" w:cstheme="majorHAnsi"/>
                <w:b/>
                <w:color w:val="000000"/>
                <w:sz w:val="17"/>
                <w:szCs w:val="17"/>
              </w:rPr>
              <w:t>0,56</w:t>
            </w:r>
          </w:p>
        </w:tc>
      </w:tr>
    </w:tbl>
    <w:p w14:paraId="2E1421BB" w14:textId="49AE0996" w:rsidR="002745C5" w:rsidRPr="003C68CA" w:rsidRDefault="003C68CA" w:rsidP="00B1192D">
      <w:pPr>
        <w:jc w:val="both"/>
        <w:rPr>
          <w:rFonts w:ascii="Atkinson Hyperlegible" w:hAnsi="Atkinson Hyperlegible" w:cstheme="minorHAnsi"/>
          <w:bCs/>
          <w:sz w:val="20"/>
          <w:szCs w:val="20"/>
          <w:shd w:val="clear" w:color="auto" w:fill="FFFFFF"/>
        </w:rPr>
      </w:pPr>
      <w:r w:rsidRPr="003C68CA">
        <w:rPr>
          <w:rFonts w:ascii="Atkinson Hyperlegible" w:hAnsi="Atkinson Hyperlegible" w:cstheme="minorHAnsi"/>
          <w:bCs/>
          <w:sz w:val="20"/>
          <w:szCs w:val="20"/>
          <w:shd w:val="clear" w:color="auto" w:fill="FFFFFF"/>
        </w:rPr>
        <w:t xml:space="preserve">Fonte: Unioncamere-InfoCamere, </w:t>
      </w:r>
      <w:proofErr w:type="spellStart"/>
      <w:r w:rsidRPr="003C68CA">
        <w:rPr>
          <w:rFonts w:ascii="Atkinson Hyperlegible" w:hAnsi="Atkinson Hyperlegible" w:cstheme="minorHAnsi"/>
          <w:bCs/>
          <w:sz w:val="20"/>
          <w:szCs w:val="20"/>
          <w:shd w:val="clear" w:color="auto" w:fill="FFFFFF"/>
        </w:rPr>
        <w:t>Movimprese</w:t>
      </w:r>
      <w:proofErr w:type="spellEnd"/>
    </w:p>
    <w:p w14:paraId="328AC924" w14:textId="77777777" w:rsidR="002745C5" w:rsidRDefault="002745C5" w:rsidP="00B1192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41788A85" w14:textId="77777777" w:rsidR="002745C5" w:rsidRDefault="002745C5" w:rsidP="00B1192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2D68C6C4" w14:textId="77777777" w:rsidR="002745C5" w:rsidRDefault="002745C5" w:rsidP="00B1192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79B13E23" w14:textId="77777777" w:rsidR="002745C5" w:rsidRDefault="002745C5" w:rsidP="00B1192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28DC6D11" w14:textId="77777777" w:rsidR="003C68CA" w:rsidRDefault="003C68CA" w:rsidP="00B1192D">
      <w:pPr>
        <w:jc w:val="both"/>
        <w:rPr>
          <w:rFonts w:ascii="Atkinson Hyperlegible" w:hAnsi="Atkinson Hyperlegible" w:cstheme="minorHAnsi"/>
          <w:i/>
          <w:iCs/>
        </w:rPr>
      </w:pPr>
    </w:p>
    <w:p w14:paraId="585207CE" w14:textId="77777777" w:rsidR="003C68CA" w:rsidRDefault="003C68CA" w:rsidP="00B1192D">
      <w:pPr>
        <w:jc w:val="both"/>
        <w:rPr>
          <w:rFonts w:ascii="Atkinson Hyperlegible" w:hAnsi="Atkinson Hyperlegible" w:cstheme="minorHAnsi"/>
          <w:i/>
          <w:iCs/>
        </w:rPr>
      </w:pPr>
    </w:p>
    <w:p w14:paraId="17559C3F" w14:textId="77777777" w:rsidR="003C68CA" w:rsidRDefault="003C68CA" w:rsidP="00B1192D">
      <w:pPr>
        <w:jc w:val="both"/>
        <w:rPr>
          <w:rFonts w:ascii="Atkinson Hyperlegible" w:hAnsi="Atkinson Hyperlegible" w:cstheme="minorHAnsi"/>
          <w:i/>
          <w:iCs/>
        </w:rPr>
      </w:pPr>
    </w:p>
    <w:p w14:paraId="292E6B70" w14:textId="77777777" w:rsidR="003C68CA" w:rsidRDefault="003C68CA" w:rsidP="00B1192D">
      <w:pPr>
        <w:jc w:val="both"/>
        <w:rPr>
          <w:rFonts w:ascii="Atkinson Hyperlegible" w:hAnsi="Atkinson Hyperlegible" w:cstheme="minorHAnsi"/>
          <w:i/>
          <w:iCs/>
        </w:rPr>
      </w:pPr>
    </w:p>
    <w:p w14:paraId="46F81108" w14:textId="77777777" w:rsidR="003C68CA" w:rsidRDefault="003C68CA" w:rsidP="00B1192D">
      <w:pPr>
        <w:jc w:val="both"/>
        <w:rPr>
          <w:rFonts w:ascii="Atkinson Hyperlegible" w:hAnsi="Atkinson Hyperlegible" w:cstheme="minorHAnsi"/>
          <w:i/>
          <w:iCs/>
        </w:rPr>
      </w:pPr>
    </w:p>
    <w:p w14:paraId="0F58BD57" w14:textId="77777777" w:rsidR="003C68CA" w:rsidRDefault="003C68CA" w:rsidP="00B1192D">
      <w:pPr>
        <w:jc w:val="both"/>
        <w:rPr>
          <w:rFonts w:ascii="Atkinson Hyperlegible" w:hAnsi="Atkinson Hyperlegible" w:cstheme="minorHAnsi"/>
          <w:i/>
          <w:iCs/>
        </w:rPr>
      </w:pPr>
    </w:p>
    <w:p w14:paraId="5A8A2FD5" w14:textId="77777777" w:rsidR="003C68CA" w:rsidRDefault="003C68CA" w:rsidP="00B1192D">
      <w:pPr>
        <w:jc w:val="both"/>
        <w:rPr>
          <w:rFonts w:ascii="Atkinson Hyperlegible" w:hAnsi="Atkinson Hyperlegible" w:cstheme="minorHAnsi"/>
          <w:i/>
          <w:iCs/>
        </w:rPr>
      </w:pPr>
    </w:p>
    <w:p w14:paraId="4CAEA3AB" w14:textId="77777777" w:rsidR="003C68CA" w:rsidRDefault="003C68CA" w:rsidP="00B1192D">
      <w:pPr>
        <w:jc w:val="both"/>
        <w:rPr>
          <w:rFonts w:ascii="Atkinson Hyperlegible" w:hAnsi="Atkinson Hyperlegible" w:cstheme="minorHAnsi"/>
          <w:i/>
          <w:iCs/>
        </w:rPr>
      </w:pPr>
    </w:p>
    <w:p w14:paraId="70DB5BEA" w14:textId="77777777" w:rsidR="003C68CA" w:rsidRDefault="003C68CA" w:rsidP="00B1192D">
      <w:pPr>
        <w:jc w:val="both"/>
        <w:rPr>
          <w:rFonts w:ascii="Atkinson Hyperlegible" w:hAnsi="Atkinson Hyperlegible" w:cstheme="minorHAnsi"/>
          <w:i/>
          <w:iCs/>
        </w:rPr>
      </w:pPr>
    </w:p>
    <w:p w14:paraId="1CB86F47" w14:textId="62C9C019" w:rsidR="00251507" w:rsidRPr="002745C5" w:rsidRDefault="006770AC" w:rsidP="00B1192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  <w:r w:rsidRPr="001629D8">
        <w:rPr>
          <w:rFonts w:ascii="Atkinson Hyperlegible" w:hAnsi="Atkinson Hyperlegible" w:cstheme="minorHAnsi"/>
          <w:i/>
          <w:iCs/>
        </w:rPr>
        <w:t>Riservato ai giornalisti: per ulteriori informazioni contattare la Camera di Commercio di Rieti-Viterbo, Paola Rita Nives Cuzzocrea (tel. 338.4096399)</w:t>
      </w:r>
    </w:p>
    <w:sectPr w:rsidR="00251507" w:rsidRPr="002745C5" w:rsidSect="00DA7FAD">
      <w:headerReference w:type="default" r:id="rId9"/>
      <w:footerReference w:type="default" r:id="rId10"/>
      <w:headerReference w:type="first" r:id="rId11"/>
      <w:pgSz w:w="11906" w:h="16838"/>
      <w:pgMar w:top="567" w:right="1701" w:bottom="1134" w:left="1701" w:header="720" w:footer="157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6F968" w14:textId="77777777" w:rsidR="00DF753B" w:rsidRDefault="00DF753B">
      <w:r>
        <w:separator/>
      </w:r>
    </w:p>
  </w:endnote>
  <w:endnote w:type="continuationSeparator" w:id="0">
    <w:p w14:paraId="66456704" w14:textId="77777777" w:rsidR="00DF753B" w:rsidRDefault="00DF7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I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tkinson Hyperlegible">
    <w:altName w:val="Calibri"/>
    <w:panose1 w:val="00000000000000000000"/>
    <w:charset w:val="00"/>
    <w:family w:val="auto"/>
    <w:pitch w:val="variable"/>
    <w:sig w:usb0="800000EF" w:usb1="0000204B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edra Sans Std Light">
    <w:altName w:val="Calibri"/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00C10" w14:textId="77777777" w:rsidR="00C919C3" w:rsidRPr="0063215F" w:rsidRDefault="00C919C3" w:rsidP="00C919C3">
    <w:pPr>
      <w:pStyle w:val="Intestazione"/>
      <w:tabs>
        <w:tab w:val="clear" w:pos="9638"/>
        <w:tab w:val="right" w:pos="8931"/>
      </w:tabs>
      <w:jc w:val="right"/>
      <w:rPr>
        <w:rFonts w:ascii="Fedra Sans Std Light" w:hAnsi="Fedra Sans Std Light"/>
        <w:color w:val="071D49"/>
      </w:rPr>
    </w:pPr>
    <w:r w:rsidRPr="0063215F">
      <w:rPr>
        <w:rFonts w:ascii="Fedra Sans Std Light" w:hAnsi="Fedra Sans Std Light"/>
        <w:color w:val="071D49"/>
        <w:sz w:val="18"/>
        <w:szCs w:val="18"/>
      </w:rPr>
      <w:t xml:space="preserve">Pag. 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begin"/>
    </w:r>
    <w:r w:rsidRPr="0063215F">
      <w:rPr>
        <w:rFonts w:ascii="Fedra Sans Std Light" w:hAnsi="Fedra Sans Std Light"/>
        <w:b/>
        <w:color w:val="071D49"/>
        <w:sz w:val="18"/>
        <w:szCs w:val="18"/>
      </w:rPr>
      <w:instrText xml:space="preserve"> PAGE \* ARABIC </w:instrTex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separate"/>
    </w:r>
    <w:r w:rsidR="00A03BF8">
      <w:rPr>
        <w:rFonts w:ascii="Fedra Sans Std Light" w:hAnsi="Fedra Sans Std Light"/>
        <w:b/>
        <w:noProof/>
        <w:color w:val="071D49"/>
        <w:sz w:val="18"/>
        <w:szCs w:val="18"/>
      </w:rPr>
      <w:t>2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end"/>
    </w:r>
    <w:r w:rsidRPr="0063215F">
      <w:rPr>
        <w:rFonts w:ascii="Fedra Sans Std Light" w:hAnsi="Fedra Sans Std Light"/>
        <w:color w:val="071D49"/>
        <w:sz w:val="18"/>
        <w:szCs w:val="18"/>
      </w:rPr>
      <w:t xml:space="preserve"> di 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begin"/>
    </w:r>
    <w:r w:rsidRPr="0063215F">
      <w:rPr>
        <w:rFonts w:ascii="Fedra Sans Std Light" w:hAnsi="Fedra Sans Std Light"/>
        <w:b/>
        <w:color w:val="071D49"/>
        <w:sz w:val="18"/>
        <w:szCs w:val="18"/>
      </w:rPr>
      <w:instrText xml:space="preserve"> NUMPAGES \* ARABIC </w:instrTex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separate"/>
    </w:r>
    <w:r w:rsidR="00A03BF8">
      <w:rPr>
        <w:rFonts w:ascii="Fedra Sans Std Light" w:hAnsi="Fedra Sans Std Light"/>
        <w:b/>
        <w:noProof/>
        <w:color w:val="071D49"/>
        <w:sz w:val="18"/>
        <w:szCs w:val="18"/>
      </w:rPr>
      <w:t>2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end"/>
    </w:r>
  </w:p>
  <w:p w14:paraId="5ADBA7CA" w14:textId="77777777" w:rsidR="00C919C3" w:rsidRDefault="00C919C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3712D" w14:textId="77777777" w:rsidR="00DF753B" w:rsidRDefault="00DF753B">
      <w:r>
        <w:separator/>
      </w:r>
    </w:p>
  </w:footnote>
  <w:footnote w:type="continuationSeparator" w:id="0">
    <w:p w14:paraId="6D7C7185" w14:textId="77777777" w:rsidR="00DF753B" w:rsidRDefault="00DF75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23C06" w14:textId="77777777" w:rsidR="00684BBD" w:rsidRPr="00684BBD" w:rsidRDefault="00684BBD" w:rsidP="008B2CE7">
    <w:pPr>
      <w:pStyle w:val="Intestazione"/>
      <w:rPr>
        <w:rFonts w:ascii="Fedra Sans Std Light" w:hAnsi="Fedra Sans Std Light" w:cs="Calibri"/>
        <w:color w:val="071D49"/>
        <w:sz w:val="20"/>
      </w:rPr>
    </w:pPr>
  </w:p>
  <w:p w14:paraId="1BF58919" w14:textId="77777777" w:rsidR="00E06214" w:rsidRDefault="00E0621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41047" w14:textId="77777777" w:rsidR="00684BBD" w:rsidRDefault="00AD4AAF">
    <w:pPr>
      <w:pStyle w:val="Intestazione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437C932" wp14:editId="2B2E585C">
          <wp:simplePos x="0" y="0"/>
          <wp:positionH relativeFrom="margin">
            <wp:posOffset>-1119505</wp:posOffset>
          </wp:positionH>
          <wp:positionV relativeFrom="margin">
            <wp:posOffset>-1151255</wp:posOffset>
          </wp:positionV>
          <wp:extent cx="7567295" cy="1702435"/>
          <wp:effectExtent l="0" t="0" r="0" b="0"/>
          <wp:wrapSquare wrapText="bothSides"/>
          <wp:docPr id="56" name="Immagin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7295" cy="1702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50.25pt;height:50.25pt;visibility:visible;mso-wrap-style:square" o:bullet="t">
        <v:imagedata r:id="rId1" o:title=""/>
      </v:shape>
    </w:pict>
  </w:numPicBullet>
  <w:abstractNum w:abstractNumId="0" w15:restartNumberingAfterBreak="0">
    <w:nsid w:val="0ACC57F1"/>
    <w:multiLevelType w:val="hybridMultilevel"/>
    <w:tmpl w:val="825A56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1181E"/>
    <w:multiLevelType w:val="hybridMultilevel"/>
    <w:tmpl w:val="EF3C76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E6B88"/>
    <w:multiLevelType w:val="hybridMultilevel"/>
    <w:tmpl w:val="DF56A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819BC"/>
    <w:multiLevelType w:val="hybridMultilevel"/>
    <w:tmpl w:val="F5660504"/>
    <w:lvl w:ilvl="0" w:tplc="7EBC7138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401B30"/>
    <w:multiLevelType w:val="hybridMultilevel"/>
    <w:tmpl w:val="54522A5C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3B881B7C"/>
    <w:multiLevelType w:val="hybridMultilevel"/>
    <w:tmpl w:val="4D2E4B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572EDC"/>
    <w:multiLevelType w:val="hybridMultilevel"/>
    <w:tmpl w:val="F48A155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903415D"/>
    <w:multiLevelType w:val="hybridMultilevel"/>
    <w:tmpl w:val="04C0AB5C"/>
    <w:lvl w:ilvl="0" w:tplc="9602503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4F054F"/>
    <w:multiLevelType w:val="hybridMultilevel"/>
    <w:tmpl w:val="32461732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EB3FFB"/>
    <w:multiLevelType w:val="hybridMultilevel"/>
    <w:tmpl w:val="68D2C5DE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BA4F2F"/>
    <w:multiLevelType w:val="singleLevel"/>
    <w:tmpl w:val="851CE2B8"/>
    <w:lvl w:ilvl="0">
      <w:start w:val="1"/>
      <w:numFmt w:val="bullet"/>
      <w:pStyle w:val="Rientrolettere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75516FD1"/>
    <w:multiLevelType w:val="multilevel"/>
    <w:tmpl w:val="B91E3F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S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2" w15:restartNumberingAfterBreak="0">
    <w:nsid w:val="7A9F7772"/>
    <w:multiLevelType w:val="hybridMultilevel"/>
    <w:tmpl w:val="069CCAFC"/>
    <w:lvl w:ilvl="0" w:tplc="76C60FF2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3229449">
    <w:abstractNumId w:val="11"/>
  </w:num>
  <w:num w:numId="2" w16cid:durableId="1545097287">
    <w:abstractNumId w:val="10"/>
  </w:num>
  <w:num w:numId="3" w16cid:durableId="249896518">
    <w:abstractNumId w:val="3"/>
  </w:num>
  <w:num w:numId="4" w16cid:durableId="2147121462">
    <w:abstractNumId w:val="4"/>
  </w:num>
  <w:num w:numId="5" w16cid:durableId="906264343">
    <w:abstractNumId w:val="2"/>
  </w:num>
  <w:num w:numId="6" w16cid:durableId="1708527692">
    <w:abstractNumId w:val="5"/>
  </w:num>
  <w:num w:numId="7" w16cid:durableId="2086101375">
    <w:abstractNumId w:val="6"/>
  </w:num>
  <w:num w:numId="8" w16cid:durableId="1586300506">
    <w:abstractNumId w:val="8"/>
  </w:num>
  <w:num w:numId="9" w16cid:durableId="1283462637">
    <w:abstractNumId w:val="9"/>
  </w:num>
  <w:num w:numId="10" w16cid:durableId="1448543473">
    <w:abstractNumId w:val="1"/>
  </w:num>
  <w:num w:numId="11" w16cid:durableId="683940601">
    <w:abstractNumId w:val="0"/>
  </w:num>
  <w:num w:numId="12" w16cid:durableId="1961186318">
    <w:abstractNumId w:val="7"/>
  </w:num>
  <w:num w:numId="13" w16cid:durableId="1583179874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AAF"/>
    <w:rsid w:val="00000F43"/>
    <w:rsid w:val="00007CD4"/>
    <w:rsid w:val="0001214F"/>
    <w:rsid w:val="00015554"/>
    <w:rsid w:val="00015623"/>
    <w:rsid w:val="000227FA"/>
    <w:rsid w:val="000235F4"/>
    <w:rsid w:val="0002555E"/>
    <w:rsid w:val="00027F2E"/>
    <w:rsid w:val="00030FF0"/>
    <w:rsid w:val="00032186"/>
    <w:rsid w:val="00032C90"/>
    <w:rsid w:val="00037385"/>
    <w:rsid w:val="000422C0"/>
    <w:rsid w:val="0004273F"/>
    <w:rsid w:val="00042D41"/>
    <w:rsid w:val="00043006"/>
    <w:rsid w:val="00043122"/>
    <w:rsid w:val="00046201"/>
    <w:rsid w:val="00046659"/>
    <w:rsid w:val="000468DE"/>
    <w:rsid w:val="00050D7C"/>
    <w:rsid w:val="00052A8C"/>
    <w:rsid w:val="000533F9"/>
    <w:rsid w:val="0005537E"/>
    <w:rsid w:val="0006064C"/>
    <w:rsid w:val="000623F0"/>
    <w:rsid w:val="000650FE"/>
    <w:rsid w:val="00065EAB"/>
    <w:rsid w:val="00071998"/>
    <w:rsid w:val="000744AB"/>
    <w:rsid w:val="0007494A"/>
    <w:rsid w:val="000750F1"/>
    <w:rsid w:val="0008565C"/>
    <w:rsid w:val="000872F6"/>
    <w:rsid w:val="00087654"/>
    <w:rsid w:val="000903E2"/>
    <w:rsid w:val="000903E5"/>
    <w:rsid w:val="00091F6E"/>
    <w:rsid w:val="000928A2"/>
    <w:rsid w:val="00092EF1"/>
    <w:rsid w:val="00093316"/>
    <w:rsid w:val="00093FAE"/>
    <w:rsid w:val="000A0AD3"/>
    <w:rsid w:val="000A0D17"/>
    <w:rsid w:val="000A3F6D"/>
    <w:rsid w:val="000A4E28"/>
    <w:rsid w:val="000A5C7E"/>
    <w:rsid w:val="000B2D19"/>
    <w:rsid w:val="000B54C4"/>
    <w:rsid w:val="000B6C06"/>
    <w:rsid w:val="000C333E"/>
    <w:rsid w:val="000C48B9"/>
    <w:rsid w:val="000C4F81"/>
    <w:rsid w:val="000D122A"/>
    <w:rsid w:val="000D1F36"/>
    <w:rsid w:val="000D595A"/>
    <w:rsid w:val="000D6954"/>
    <w:rsid w:val="000D6FD1"/>
    <w:rsid w:val="000E0E74"/>
    <w:rsid w:val="000E669F"/>
    <w:rsid w:val="000E6FE3"/>
    <w:rsid w:val="000F0478"/>
    <w:rsid w:val="000F29F8"/>
    <w:rsid w:val="000F3B01"/>
    <w:rsid w:val="000F3E31"/>
    <w:rsid w:val="00101825"/>
    <w:rsid w:val="00101FB4"/>
    <w:rsid w:val="00102DB1"/>
    <w:rsid w:val="0010432B"/>
    <w:rsid w:val="0010590E"/>
    <w:rsid w:val="00105E53"/>
    <w:rsid w:val="00113F7D"/>
    <w:rsid w:val="001151A1"/>
    <w:rsid w:val="00115751"/>
    <w:rsid w:val="00124F3D"/>
    <w:rsid w:val="00125CE1"/>
    <w:rsid w:val="00126D28"/>
    <w:rsid w:val="00130248"/>
    <w:rsid w:val="001314EC"/>
    <w:rsid w:val="00131A6E"/>
    <w:rsid w:val="001332C5"/>
    <w:rsid w:val="001337C1"/>
    <w:rsid w:val="001363C7"/>
    <w:rsid w:val="00136C69"/>
    <w:rsid w:val="00143B5F"/>
    <w:rsid w:val="0014724E"/>
    <w:rsid w:val="0014784F"/>
    <w:rsid w:val="00150F86"/>
    <w:rsid w:val="0015112F"/>
    <w:rsid w:val="00151E45"/>
    <w:rsid w:val="00154D1D"/>
    <w:rsid w:val="00155DA4"/>
    <w:rsid w:val="001629D8"/>
    <w:rsid w:val="00170577"/>
    <w:rsid w:val="0017154A"/>
    <w:rsid w:val="00172A83"/>
    <w:rsid w:val="00180C7B"/>
    <w:rsid w:val="00184CE1"/>
    <w:rsid w:val="00185070"/>
    <w:rsid w:val="0018578E"/>
    <w:rsid w:val="00187D7B"/>
    <w:rsid w:val="0019364D"/>
    <w:rsid w:val="00194719"/>
    <w:rsid w:val="001956FC"/>
    <w:rsid w:val="0019728F"/>
    <w:rsid w:val="001B1ADC"/>
    <w:rsid w:val="001B600D"/>
    <w:rsid w:val="001B7FBF"/>
    <w:rsid w:val="001C1DA3"/>
    <w:rsid w:val="001C274B"/>
    <w:rsid w:val="001C2ECD"/>
    <w:rsid w:val="001C34B8"/>
    <w:rsid w:val="001C42B8"/>
    <w:rsid w:val="001D3FDE"/>
    <w:rsid w:val="001E3B9E"/>
    <w:rsid w:val="001E49F4"/>
    <w:rsid w:val="001E72A7"/>
    <w:rsid w:val="001F01FA"/>
    <w:rsid w:val="001F186E"/>
    <w:rsid w:val="001F1BE7"/>
    <w:rsid w:val="001F4790"/>
    <w:rsid w:val="001F4899"/>
    <w:rsid w:val="001F4B6B"/>
    <w:rsid w:val="001F76CC"/>
    <w:rsid w:val="001F7C0B"/>
    <w:rsid w:val="002006D1"/>
    <w:rsid w:val="00214E2A"/>
    <w:rsid w:val="00216D0F"/>
    <w:rsid w:val="00217A1A"/>
    <w:rsid w:val="00226016"/>
    <w:rsid w:val="002260C5"/>
    <w:rsid w:val="00226617"/>
    <w:rsid w:val="00226E07"/>
    <w:rsid w:val="00230D13"/>
    <w:rsid w:val="00231A4E"/>
    <w:rsid w:val="002342FD"/>
    <w:rsid w:val="002363E3"/>
    <w:rsid w:val="00236A9A"/>
    <w:rsid w:val="00241E64"/>
    <w:rsid w:val="00247727"/>
    <w:rsid w:val="00251507"/>
    <w:rsid w:val="00254619"/>
    <w:rsid w:val="00257859"/>
    <w:rsid w:val="00257A4D"/>
    <w:rsid w:val="0026308E"/>
    <w:rsid w:val="0026651D"/>
    <w:rsid w:val="00273C7A"/>
    <w:rsid w:val="002745C5"/>
    <w:rsid w:val="00275ED2"/>
    <w:rsid w:val="00281E9E"/>
    <w:rsid w:val="00282088"/>
    <w:rsid w:val="00283E30"/>
    <w:rsid w:val="0028428F"/>
    <w:rsid w:val="002849DC"/>
    <w:rsid w:val="002863E4"/>
    <w:rsid w:val="002923D2"/>
    <w:rsid w:val="00295ECF"/>
    <w:rsid w:val="002A41E0"/>
    <w:rsid w:val="002A4476"/>
    <w:rsid w:val="002A6560"/>
    <w:rsid w:val="002B2D14"/>
    <w:rsid w:val="002B506B"/>
    <w:rsid w:val="002B6F75"/>
    <w:rsid w:val="002C147D"/>
    <w:rsid w:val="002C3129"/>
    <w:rsid w:val="002C77BB"/>
    <w:rsid w:val="002D0316"/>
    <w:rsid w:val="002D1D38"/>
    <w:rsid w:val="002D4671"/>
    <w:rsid w:val="002D4C4D"/>
    <w:rsid w:val="002D55D7"/>
    <w:rsid w:val="002D5A7B"/>
    <w:rsid w:val="002E1785"/>
    <w:rsid w:val="002E2444"/>
    <w:rsid w:val="002E269E"/>
    <w:rsid w:val="002E3958"/>
    <w:rsid w:val="002E71BC"/>
    <w:rsid w:val="002F3186"/>
    <w:rsid w:val="002F4721"/>
    <w:rsid w:val="002F4957"/>
    <w:rsid w:val="002F4EBC"/>
    <w:rsid w:val="003136AE"/>
    <w:rsid w:val="003139D8"/>
    <w:rsid w:val="003156F3"/>
    <w:rsid w:val="00321695"/>
    <w:rsid w:val="00323CF4"/>
    <w:rsid w:val="00324DC5"/>
    <w:rsid w:val="003269D6"/>
    <w:rsid w:val="003316CD"/>
    <w:rsid w:val="0033434D"/>
    <w:rsid w:val="00334AE1"/>
    <w:rsid w:val="00334EE7"/>
    <w:rsid w:val="00335912"/>
    <w:rsid w:val="00335E24"/>
    <w:rsid w:val="003372D8"/>
    <w:rsid w:val="003400C0"/>
    <w:rsid w:val="00343EF8"/>
    <w:rsid w:val="00352A0C"/>
    <w:rsid w:val="00352DE7"/>
    <w:rsid w:val="00361ED1"/>
    <w:rsid w:val="00364C37"/>
    <w:rsid w:val="00364C56"/>
    <w:rsid w:val="00364EDB"/>
    <w:rsid w:val="00365164"/>
    <w:rsid w:val="00365A5F"/>
    <w:rsid w:val="0036772E"/>
    <w:rsid w:val="003728CA"/>
    <w:rsid w:val="00375180"/>
    <w:rsid w:val="00380830"/>
    <w:rsid w:val="003864F8"/>
    <w:rsid w:val="003865F9"/>
    <w:rsid w:val="003A06BD"/>
    <w:rsid w:val="003A3F42"/>
    <w:rsid w:val="003B60A0"/>
    <w:rsid w:val="003C68CA"/>
    <w:rsid w:val="003D0F8B"/>
    <w:rsid w:val="003D1110"/>
    <w:rsid w:val="003D6F96"/>
    <w:rsid w:val="003E233B"/>
    <w:rsid w:val="003E2998"/>
    <w:rsid w:val="003E3BD9"/>
    <w:rsid w:val="003E7B9B"/>
    <w:rsid w:val="003F07B3"/>
    <w:rsid w:val="004006B7"/>
    <w:rsid w:val="004009AC"/>
    <w:rsid w:val="00411681"/>
    <w:rsid w:val="00414CB4"/>
    <w:rsid w:val="00425721"/>
    <w:rsid w:val="00430A76"/>
    <w:rsid w:val="00430EE9"/>
    <w:rsid w:val="004335DB"/>
    <w:rsid w:val="0043471E"/>
    <w:rsid w:val="00434998"/>
    <w:rsid w:val="004360BE"/>
    <w:rsid w:val="00441E03"/>
    <w:rsid w:val="00442A2A"/>
    <w:rsid w:val="004447C5"/>
    <w:rsid w:val="00444A19"/>
    <w:rsid w:val="004508F7"/>
    <w:rsid w:val="00456BC0"/>
    <w:rsid w:val="00456CE7"/>
    <w:rsid w:val="00460B79"/>
    <w:rsid w:val="00460E46"/>
    <w:rsid w:val="00461E0D"/>
    <w:rsid w:val="004640D5"/>
    <w:rsid w:val="004671F3"/>
    <w:rsid w:val="00482B20"/>
    <w:rsid w:val="00490EE4"/>
    <w:rsid w:val="00494838"/>
    <w:rsid w:val="004954EF"/>
    <w:rsid w:val="00497E3F"/>
    <w:rsid w:val="004A400A"/>
    <w:rsid w:val="004A7BA1"/>
    <w:rsid w:val="004B14A7"/>
    <w:rsid w:val="004B229E"/>
    <w:rsid w:val="004B2306"/>
    <w:rsid w:val="004B301A"/>
    <w:rsid w:val="004B4D8B"/>
    <w:rsid w:val="004B4F93"/>
    <w:rsid w:val="004C1F7F"/>
    <w:rsid w:val="004C2AB2"/>
    <w:rsid w:val="004C430D"/>
    <w:rsid w:val="004C6579"/>
    <w:rsid w:val="004C6789"/>
    <w:rsid w:val="004D23BA"/>
    <w:rsid w:val="004D4335"/>
    <w:rsid w:val="004D6483"/>
    <w:rsid w:val="004E05BD"/>
    <w:rsid w:val="004E5AA3"/>
    <w:rsid w:val="004E5AE6"/>
    <w:rsid w:val="004E69A0"/>
    <w:rsid w:val="004E7FC8"/>
    <w:rsid w:val="004F1B98"/>
    <w:rsid w:val="004F41ED"/>
    <w:rsid w:val="004F4D6C"/>
    <w:rsid w:val="004F4E61"/>
    <w:rsid w:val="00503651"/>
    <w:rsid w:val="005053C1"/>
    <w:rsid w:val="00513F31"/>
    <w:rsid w:val="00514CFA"/>
    <w:rsid w:val="005165CA"/>
    <w:rsid w:val="005165EE"/>
    <w:rsid w:val="005207F0"/>
    <w:rsid w:val="005246A0"/>
    <w:rsid w:val="005257B8"/>
    <w:rsid w:val="005258AD"/>
    <w:rsid w:val="00526B59"/>
    <w:rsid w:val="005271AE"/>
    <w:rsid w:val="00533575"/>
    <w:rsid w:val="00533E5F"/>
    <w:rsid w:val="00540711"/>
    <w:rsid w:val="0054157A"/>
    <w:rsid w:val="005435A5"/>
    <w:rsid w:val="0055106A"/>
    <w:rsid w:val="005520DB"/>
    <w:rsid w:val="005537D8"/>
    <w:rsid w:val="00554AF3"/>
    <w:rsid w:val="005555DD"/>
    <w:rsid w:val="00556809"/>
    <w:rsid w:val="00560F15"/>
    <w:rsid w:val="00561099"/>
    <w:rsid w:val="00563475"/>
    <w:rsid w:val="00572870"/>
    <w:rsid w:val="005730EB"/>
    <w:rsid w:val="005757DC"/>
    <w:rsid w:val="00576B02"/>
    <w:rsid w:val="00580084"/>
    <w:rsid w:val="00580204"/>
    <w:rsid w:val="00582B9A"/>
    <w:rsid w:val="005830A3"/>
    <w:rsid w:val="005908D1"/>
    <w:rsid w:val="0059183E"/>
    <w:rsid w:val="005A156B"/>
    <w:rsid w:val="005A3DC7"/>
    <w:rsid w:val="005A44FC"/>
    <w:rsid w:val="005B3E90"/>
    <w:rsid w:val="005B5641"/>
    <w:rsid w:val="005C2299"/>
    <w:rsid w:val="005C4654"/>
    <w:rsid w:val="005D239A"/>
    <w:rsid w:val="005D615C"/>
    <w:rsid w:val="005D7E24"/>
    <w:rsid w:val="005E24D0"/>
    <w:rsid w:val="005E2CE3"/>
    <w:rsid w:val="005E5507"/>
    <w:rsid w:val="005E6593"/>
    <w:rsid w:val="005E7285"/>
    <w:rsid w:val="005F034F"/>
    <w:rsid w:val="005F39F4"/>
    <w:rsid w:val="005F604F"/>
    <w:rsid w:val="00604F19"/>
    <w:rsid w:val="006050A4"/>
    <w:rsid w:val="006108F6"/>
    <w:rsid w:val="00610A89"/>
    <w:rsid w:val="00611877"/>
    <w:rsid w:val="00620F08"/>
    <w:rsid w:val="00622840"/>
    <w:rsid w:val="0062403F"/>
    <w:rsid w:val="006322C5"/>
    <w:rsid w:val="006365AF"/>
    <w:rsid w:val="00640ED2"/>
    <w:rsid w:val="00646228"/>
    <w:rsid w:val="0064759F"/>
    <w:rsid w:val="00650C7F"/>
    <w:rsid w:val="00654454"/>
    <w:rsid w:val="006544F7"/>
    <w:rsid w:val="006548CE"/>
    <w:rsid w:val="00655F5C"/>
    <w:rsid w:val="0065684F"/>
    <w:rsid w:val="00672AA0"/>
    <w:rsid w:val="00672B82"/>
    <w:rsid w:val="00675AC5"/>
    <w:rsid w:val="006770AC"/>
    <w:rsid w:val="00682386"/>
    <w:rsid w:val="006832A0"/>
    <w:rsid w:val="00684BBD"/>
    <w:rsid w:val="00684D8A"/>
    <w:rsid w:val="006872FF"/>
    <w:rsid w:val="00692F93"/>
    <w:rsid w:val="006A37AD"/>
    <w:rsid w:val="006A41D2"/>
    <w:rsid w:val="006A5677"/>
    <w:rsid w:val="006A646A"/>
    <w:rsid w:val="006A65BA"/>
    <w:rsid w:val="006B30E0"/>
    <w:rsid w:val="006B6DAB"/>
    <w:rsid w:val="006C0254"/>
    <w:rsid w:val="006C101D"/>
    <w:rsid w:val="006C1DF9"/>
    <w:rsid w:val="006C22E4"/>
    <w:rsid w:val="006C3D08"/>
    <w:rsid w:val="006C5714"/>
    <w:rsid w:val="006C65CE"/>
    <w:rsid w:val="006D0FAC"/>
    <w:rsid w:val="006D1DDB"/>
    <w:rsid w:val="006D311E"/>
    <w:rsid w:val="006D3554"/>
    <w:rsid w:val="006D5D9D"/>
    <w:rsid w:val="006E00E4"/>
    <w:rsid w:val="006E0273"/>
    <w:rsid w:val="006E186D"/>
    <w:rsid w:val="006E217F"/>
    <w:rsid w:val="006E35CE"/>
    <w:rsid w:val="006E4854"/>
    <w:rsid w:val="006E4870"/>
    <w:rsid w:val="006F0D23"/>
    <w:rsid w:val="006F1594"/>
    <w:rsid w:val="006F213F"/>
    <w:rsid w:val="006F2205"/>
    <w:rsid w:val="006F258C"/>
    <w:rsid w:val="006F36DA"/>
    <w:rsid w:val="006F3A27"/>
    <w:rsid w:val="007033DA"/>
    <w:rsid w:val="00703D43"/>
    <w:rsid w:val="0070570D"/>
    <w:rsid w:val="007107AB"/>
    <w:rsid w:val="007107FE"/>
    <w:rsid w:val="0071678D"/>
    <w:rsid w:val="00716B7C"/>
    <w:rsid w:val="0072278B"/>
    <w:rsid w:val="00722813"/>
    <w:rsid w:val="00722DAC"/>
    <w:rsid w:val="007250F3"/>
    <w:rsid w:val="00730050"/>
    <w:rsid w:val="0073115F"/>
    <w:rsid w:val="007313C7"/>
    <w:rsid w:val="00732B08"/>
    <w:rsid w:val="0073407A"/>
    <w:rsid w:val="00737B04"/>
    <w:rsid w:val="00741E4E"/>
    <w:rsid w:val="00743950"/>
    <w:rsid w:val="007445AB"/>
    <w:rsid w:val="007459D1"/>
    <w:rsid w:val="00745E43"/>
    <w:rsid w:val="00747E5E"/>
    <w:rsid w:val="007553BF"/>
    <w:rsid w:val="00762ABB"/>
    <w:rsid w:val="00764924"/>
    <w:rsid w:val="0076626B"/>
    <w:rsid w:val="00771219"/>
    <w:rsid w:val="00771C8E"/>
    <w:rsid w:val="00771F08"/>
    <w:rsid w:val="00773BE8"/>
    <w:rsid w:val="00774247"/>
    <w:rsid w:val="00776572"/>
    <w:rsid w:val="00780A52"/>
    <w:rsid w:val="00785C8D"/>
    <w:rsid w:val="00785DBA"/>
    <w:rsid w:val="00787055"/>
    <w:rsid w:val="00791AEC"/>
    <w:rsid w:val="00793221"/>
    <w:rsid w:val="00793815"/>
    <w:rsid w:val="0079525C"/>
    <w:rsid w:val="00796B7B"/>
    <w:rsid w:val="007978A3"/>
    <w:rsid w:val="007A750B"/>
    <w:rsid w:val="007B03D6"/>
    <w:rsid w:val="007B065C"/>
    <w:rsid w:val="007B13AF"/>
    <w:rsid w:val="007B1E07"/>
    <w:rsid w:val="007B2E81"/>
    <w:rsid w:val="007B593E"/>
    <w:rsid w:val="007B5C7A"/>
    <w:rsid w:val="007C4E6B"/>
    <w:rsid w:val="007C5E12"/>
    <w:rsid w:val="007C6B26"/>
    <w:rsid w:val="007D2A1B"/>
    <w:rsid w:val="007D37DC"/>
    <w:rsid w:val="007E44DD"/>
    <w:rsid w:val="007F1740"/>
    <w:rsid w:val="007F31D4"/>
    <w:rsid w:val="007F382B"/>
    <w:rsid w:val="007F7DD5"/>
    <w:rsid w:val="00805074"/>
    <w:rsid w:val="00812A09"/>
    <w:rsid w:val="0081580A"/>
    <w:rsid w:val="008172AE"/>
    <w:rsid w:val="00820387"/>
    <w:rsid w:val="008205FC"/>
    <w:rsid w:val="00820712"/>
    <w:rsid w:val="0082092B"/>
    <w:rsid w:val="008216D4"/>
    <w:rsid w:val="00823440"/>
    <w:rsid w:val="00824047"/>
    <w:rsid w:val="00827250"/>
    <w:rsid w:val="00837AFB"/>
    <w:rsid w:val="008436D8"/>
    <w:rsid w:val="00845C39"/>
    <w:rsid w:val="00850EF3"/>
    <w:rsid w:val="008556C7"/>
    <w:rsid w:val="00855EC1"/>
    <w:rsid w:val="00856300"/>
    <w:rsid w:val="00856673"/>
    <w:rsid w:val="008626B5"/>
    <w:rsid w:val="00864755"/>
    <w:rsid w:val="00867A12"/>
    <w:rsid w:val="00872E6C"/>
    <w:rsid w:val="008744B3"/>
    <w:rsid w:val="008754C2"/>
    <w:rsid w:val="0088033F"/>
    <w:rsid w:val="00884585"/>
    <w:rsid w:val="0088497F"/>
    <w:rsid w:val="00886F31"/>
    <w:rsid w:val="0089041C"/>
    <w:rsid w:val="00890527"/>
    <w:rsid w:val="0089240F"/>
    <w:rsid w:val="00896026"/>
    <w:rsid w:val="00897B24"/>
    <w:rsid w:val="008A621C"/>
    <w:rsid w:val="008B2CE7"/>
    <w:rsid w:val="008B3864"/>
    <w:rsid w:val="008B569E"/>
    <w:rsid w:val="008B7EEF"/>
    <w:rsid w:val="008C41D7"/>
    <w:rsid w:val="008C5430"/>
    <w:rsid w:val="008C55D4"/>
    <w:rsid w:val="008C7966"/>
    <w:rsid w:val="008D1B00"/>
    <w:rsid w:val="008D29BF"/>
    <w:rsid w:val="008D38CA"/>
    <w:rsid w:val="008E0361"/>
    <w:rsid w:val="008E75C6"/>
    <w:rsid w:val="008F7904"/>
    <w:rsid w:val="00901AE3"/>
    <w:rsid w:val="00901B6E"/>
    <w:rsid w:val="00910DD4"/>
    <w:rsid w:val="00912A11"/>
    <w:rsid w:val="00915B82"/>
    <w:rsid w:val="00920523"/>
    <w:rsid w:val="00927BB2"/>
    <w:rsid w:val="00930902"/>
    <w:rsid w:val="00932B77"/>
    <w:rsid w:val="00935995"/>
    <w:rsid w:val="00937C6F"/>
    <w:rsid w:val="00942388"/>
    <w:rsid w:val="009451FC"/>
    <w:rsid w:val="009543C4"/>
    <w:rsid w:val="00957A1E"/>
    <w:rsid w:val="009612F7"/>
    <w:rsid w:val="00961C02"/>
    <w:rsid w:val="00963939"/>
    <w:rsid w:val="00966653"/>
    <w:rsid w:val="0097786A"/>
    <w:rsid w:val="0098454F"/>
    <w:rsid w:val="0099069A"/>
    <w:rsid w:val="00992FEC"/>
    <w:rsid w:val="009935AD"/>
    <w:rsid w:val="009938A9"/>
    <w:rsid w:val="00995915"/>
    <w:rsid w:val="009A0B02"/>
    <w:rsid w:val="009A6A42"/>
    <w:rsid w:val="009A7BFF"/>
    <w:rsid w:val="009C2CB3"/>
    <w:rsid w:val="009C2F83"/>
    <w:rsid w:val="009C48AC"/>
    <w:rsid w:val="009C5131"/>
    <w:rsid w:val="009C6B5C"/>
    <w:rsid w:val="009D001D"/>
    <w:rsid w:val="009D4372"/>
    <w:rsid w:val="009E3C69"/>
    <w:rsid w:val="009E473D"/>
    <w:rsid w:val="009E5846"/>
    <w:rsid w:val="009E7DBE"/>
    <w:rsid w:val="009F3680"/>
    <w:rsid w:val="009F7940"/>
    <w:rsid w:val="00A00480"/>
    <w:rsid w:val="00A02313"/>
    <w:rsid w:val="00A02D36"/>
    <w:rsid w:val="00A03BF8"/>
    <w:rsid w:val="00A04E24"/>
    <w:rsid w:val="00A0698F"/>
    <w:rsid w:val="00A074CB"/>
    <w:rsid w:val="00A10055"/>
    <w:rsid w:val="00A12B60"/>
    <w:rsid w:val="00A151D1"/>
    <w:rsid w:val="00A178F0"/>
    <w:rsid w:val="00A22123"/>
    <w:rsid w:val="00A223D2"/>
    <w:rsid w:val="00A236B7"/>
    <w:rsid w:val="00A25F86"/>
    <w:rsid w:val="00A35905"/>
    <w:rsid w:val="00A37051"/>
    <w:rsid w:val="00A406A1"/>
    <w:rsid w:val="00A40EDA"/>
    <w:rsid w:val="00A41033"/>
    <w:rsid w:val="00A416B3"/>
    <w:rsid w:val="00A42F9D"/>
    <w:rsid w:val="00A46CD9"/>
    <w:rsid w:val="00A53F6B"/>
    <w:rsid w:val="00A573FC"/>
    <w:rsid w:val="00A62488"/>
    <w:rsid w:val="00A637E8"/>
    <w:rsid w:val="00A6472C"/>
    <w:rsid w:val="00A64C58"/>
    <w:rsid w:val="00A64F8A"/>
    <w:rsid w:val="00A65207"/>
    <w:rsid w:val="00A716EC"/>
    <w:rsid w:val="00A72BA3"/>
    <w:rsid w:val="00A73213"/>
    <w:rsid w:val="00A74F4B"/>
    <w:rsid w:val="00A836EC"/>
    <w:rsid w:val="00A8460F"/>
    <w:rsid w:val="00A878D0"/>
    <w:rsid w:val="00A917E3"/>
    <w:rsid w:val="00A93ED2"/>
    <w:rsid w:val="00A94D14"/>
    <w:rsid w:val="00A97DF2"/>
    <w:rsid w:val="00AA1F2E"/>
    <w:rsid w:val="00AA45B9"/>
    <w:rsid w:val="00AA6A8B"/>
    <w:rsid w:val="00AA6A9F"/>
    <w:rsid w:val="00AA75AA"/>
    <w:rsid w:val="00AB01AC"/>
    <w:rsid w:val="00AB17BB"/>
    <w:rsid w:val="00AB24F3"/>
    <w:rsid w:val="00AB6295"/>
    <w:rsid w:val="00AB6DE5"/>
    <w:rsid w:val="00AC3BAB"/>
    <w:rsid w:val="00AD1808"/>
    <w:rsid w:val="00AD3266"/>
    <w:rsid w:val="00AD3EF5"/>
    <w:rsid w:val="00AD4AAF"/>
    <w:rsid w:val="00AD61E8"/>
    <w:rsid w:val="00AE018A"/>
    <w:rsid w:val="00AE099C"/>
    <w:rsid w:val="00AE4DD4"/>
    <w:rsid w:val="00AF387E"/>
    <w:rsid w:val="00AF5497"/>
    <w:rsid w:val="00AF6ADB"/>
    <w:rsid w:val="00B0109D"/>
    <w:rsid w:val="00B030E0"/>
    <w:rsid w:val="00B042A6"/>
    <w:rsid w:val="00B05A8D"/>
    <w:rsid w:val="00B0615B"/>
    <w:rsid w:val="00B1192D"/>
    <w:rsid w:val="00B12048"/>
    <w:rsid w:val="00B1223A"/>
    <w:rsid w:val="00B14FCF"/>
    <w:rsid w:val="00B176B3"/>
    <w:rsid w:val="00B208FB"/>
    <w:rsid w:val="00B22DAC"/>
    <w:rsid w:val="00B23F9C"/>
    <w:rsid w:val="00B26B00"/>
    <w:rsid w:val="00B30716"/>
    <w:rsid w:val="00B30ECF"/>
    <w:rsid w:val="00B30F73"/>
    <w:rsid w:val="00B31C10"/>
    <w:rsid w:val="00B34049"/>
    <w:rsid w:val="00B42C95"/>
    <w:rsid w:val="00B4318A"/>
    <w:rsid w:val="00B44B57"/>
    <w:rsid w:val="00B50298"/>
    <w:rsid w:val="00B50B18"/>
    <w:rsid w:val="00B50FDA"/>
    <w:rsid w:val="00B529D3"/>
    <w:rsid w:val="00B54B27"/>
    <w:rsid w:val="00B5634F"/>
    <w:rsid w:val="00B56BAE"/>
    <w:rsid w:val="00B57362"/>
    <w:rsid w:val="00B614FF"/>
    <w:rsid w:val="00B62486"/>
    <w:rsid w:val="00B639D0"/>
    <w:rsid w:val="00B671B9"/>
    <w:rsid w:val="00B71124"/>
    <w:rsid w:val="00B71129"/>
    <w:rsid w:val="00B7113C"/>
    <w:rsid w:val="00B721E5"/>
    <w:rsid w:val="00B8233E"/>
    <w:rsid w:val="00B82B93"/>
    <w:rsid w:val="00B844F4"/>
    <w:rsid w:val="00B873D9"/>
    <w:rsid w:val="00B87BFB"/>
    <w:rsid w:val="00B911B0"/>
    <w:rsid w:val="00B95C96"/>
    <w:rsid w:val="00BA223A"/>
    <w:rsid w:val="00BA291E"/>
    <w:rsid w:val="00BA2B63"/>
    <w:rsid w:val="00BB1581"/>
    <w:rsid w:val="00BB25A4"/>
    <w:rsid w:val="00BB79E2"/>
    <w:rsid w:val="00BC261D"/>
    <w:rsid w:val="00BC55B5"/>
    <w:rsid w:val="00BD0FD9"/>
    <w:rsid w:val="00BE63BD"/>
    <w:rsid w:val="00BE7654"/>
    <w:rsid w:val="00BE7ED1"/>
    <w:rsid w:val="00BF3F4F"/>
    <w:rsid w:val="00BF4FD0"/>
    <w:rsid w:val="00BF60EE"/>
    <w:rsid w:val="00BF7859"/>
    <w:rsid w:val="00C04285"/>
    <w:rsid w:val="00C05284"/>
    <w:rsid w:val="00C13084"/>
    <w:rsid w:val="00C175D0"/>
    <w:rsid w:val="00C178EB"/>
    <w:rsid w:val="00C2115D"/>
    <w:rsid w:val="00C26E8A"/>
    <w:rsid w:val="00C34816"/>
    <w:rsid w:val="00C353A7"/>
    <w:rsid w:val="00C35886"/>
    <w:rsid w:val="00C41B09"/>
    <w:rsid w:val="00C41D9B"/>
    <w:rsid w:val="00C4419D"/>
    <w:rsid w:val="00C4470B"/>
    <w:rsid w:val="00C4589D"/>
    <w:rsid w:val="00C47DA9"/>
    <w:rsid w:val="00C507F2"/>
    <w:rsid w:val="00C514A5"/>
    <w:rsid w:val="00C528EB"/>
    <w:rsid w:val="00C54DEB"/>
    <w:rsid w:val="00C55225"/>
    <w:rsid w:val="00C56938"/>
    <w:rsid w:val="00C5702E"/>
    <w:rsid w:val="00C638AF"/>
    <w:rsid w:val="00C65B06"/>
    <w:rsid w:val="00C65F20"/>
    <w:rsid w:val="00C67B56"/>
    <w:rsid w:val="00C70128"/>
    <w:rsid w:val="00C71976"/>
    <w:rsid w:val="00C77A9B"/>
    <w:rsid w:val="00C80B92"/>
    <w:rsid w:val="00C83CA0"/>
    <w:rsid w:val="00C83FFB"/>
    <w:rsid w:val="00C919C3"/>
    <w:rsid w:val="00C92447"/>
    <w:rsid w:val="00C925CF"/>
    <w:rsid w:val="00C9307D"/>
    <w:rsid w:val="00C9369C"/>
    <w:rsid w:val="00C95E2C"/>
    <w:rsid w:val="00C97011"/>
    <w:rsid w:val="00C97472"/>
    <w:rsid w:val="00CA0CB8"/>
    <w:rsid w:val="00CA385B"/>
    <w:rsid w:val="00CA3CB5"/>
    <w:rsid w:val="00CA7779"/>
    <w:rsid w:val="00CA7B41"/>
    <w:rsid w:val="00CB56A7"/>
    <w:rsid w:val="00CC2FB8"/>
    <w:rsid w:val="00CC3B2A"/>
    <w:rsid w:val="00CC57F6"/>
    <w:rsid w:val="00CD0D05"/>
    <w:rsid w:val="00CD0D66"/>
    <w:rsid w:val="00CD2FA3"/>
    <w:rsid w:val="00CD689F"/>
    <w:rsid w:val="00CD78D4"/>
    <w:rsid w:val="00CE08F3"/>
    <w:rsid w:val="00CE16AA"/>
    <w:rsid w:val="00CE32FB"/>
    <w:rsid w:val="00CE4E9A"/>
    <w:rsid w:val="00CE563C"/>
    <w:rsid w:val="00CF2F41"/>
    <w:rsid w:val="00CF4434"/>
    <w:rsid w:val="00CF7D93"/>
    <w:rsid w:val="00D025C3"/>
    <w:rsid w:val="00D06DD0"/>
    <w:rsid w:val="00D12C37"/>
    <w:rsid w:val="00D14D97"/>
    <w:rsid w:val="00D16883"/>
    <w:rsid w:val="00D17B9C"/>
    <w:rsid w:val="00D21833"/>
    <w:rsid w:val="00D21979"/>
    <w:rsid w:val="00D23051"/>
    <w:rsid w:val="00D2375D"/>
    <w:rsid w:val="00D27406"/>
    <w:rsid w:val="00D276D1"/>
    <w:rsid w:val="00D27810"/>
    <w:rsid w:val="00D4074C"/>
    <w:rsid w:val="00D40E2C"/>
    <w:rsid w:val="00D4381C"/>
    <w:rsid w:val="00D44453"/>
    <w:rsid w:val="00D46BFE"/>
    <w:rsid w:val="00D5284F"/>
    <w:rsid w:val="00D52E94"/>
    <w:rsid w:val="00D61B05"/>
    <w:rsid w:val="00D61C1C"/>
    <w:rsid w:val="00D62B04"/>
    <w:rsid w:val="00D62FDB"/>
    <w:rsid w:val="00D66DC6"/>
    <w:rsid w:val="00D7142E"/>
    <w:rsid w:val="00D7350E"/>
    <w:rsid w:val="00D774C4"/>
    <w:rsid w:val="00D83B9E"/>
    <w:rsid w:val="00D844B3"/>
    <w:rsid w:val="00D853BA"/>
    <w:rsid w:val="00D86829"/>
    <w:rsid w:val="00D97439"/>
    <w:rsid w:val="00DA02C6"/>
    <w:rsid w:val="00DA02F6"/>
    <w:rsid w:val="00DA3569"/>
    <w:rsid w:val="00DA6AA9"/>
    <w:rsid w:val="00DA6C80"/>
    <w:rsid w:val="00DA7D8A"/>
    <w:rsid w:val="00DA7FAD"/>
    <w:rsid w:val="00DB0689"/>
    <w:rsid w:val="00DB0D55"/>
    <w:rsid w:val="00DB21DE"/>
    <w:rsid w:val="00DB31AB"/>
    <w:rsid w:val="00DB4A79"/>
    <w:rsid w:val="00DC4654"/>
    <w:rsid w:val="00DC5106"/>
    <w:rsid w:val="00DC79E1"/>
    <w:rsid w:val="00DC7A2C"/>
    <w:rsid w:val="00DD0880"/>
    <w:rsid w:val="00DD4559"/>
    <w:rsid w:val="00DE586D"/>
    <w:rsid w:val="00DF46A4"/>
    <w:rsid w:val="00DF5AA3"/>
    <w:rsid w:val="00DF753B"/>
    <w:rsid w:val="00DF7BB3"/>
    <w:rsid w:val="00E0232E"/>
    <w:rsid w:val="00E045B3"/>
    <w:rsid w:val="00E04838"/>
    <w:rsid w:val="00E06214"/>
    <w:rsid w:val="00E10420"/>
    <w:rsid w:val="00E10863"/>
    <w:rsid w:val="00E10A9C"/>
    <w:rsid w:val="00E11AFD"/>
    <w:rsid w:val="00E138B8"/>
    <w:rsid w:val="00E15C4E"/>
    <w:rsid w:val="00E17B1C"/>
    <w:rsid w:val="00E203E1"/>
    <w:rsid w:val="00E21C7D"/>
    <w:rsid w:val="00E2318B"/>
    <w:rsid w:val="00E25E5F"/>
    <w:rsid w:val="00E25F54"/>
    <w:rsid w:val="00E30FE3"/>
    <w:rsid w:val="00E34199"/>
    <w:rsid w:val="00E40976"/>
    <w:rsid w:val="00E41550"/>
    <w:rsid w:val="00E4752E"/>
    <w:rsid w:val="00E5002B"/>
    <w:rsid w:val="00E5057A"/>
    <w:rsid w:val="00E50686"/>
    <w:rsid w:val="00E51500"/>
    <w:rsid w:val="00E525B5"/>
    <w:rsid w:val="00E53D20"/>
    <w:rsid w:val="00E60341"/>
    <w:rsid w:val="00E7107C"/>
    <w:rsid w:val="00E74DBE"/>
    <w:rsid w:val="00E80F1D"/>
    <w:rsid w:val="00E81B19"/>
    <w:rsid w:val="00E828A2"/>
    <w:rsid w:val="00E87C25"/>
    <w:rsid w:val="00E90221"/>
    <w:rsid w:val="00E90C00"/>
    <w:rsid w:val="00E9155E"/>
    <w:rsid w:val="00E94BDB"/>
    <w:rsid w:val="00E94D55"/>
    <w:rsid w:val="00EA3F16"/>
    <w:rsid w:val="00EA620A"/>
    <w:rsid w:val="00EB1B6D"/>
    <w:rsid w:val="00EB36A7"/>
    <w:rsid w:val="00ED28D0"/>
    <w:rsid w:val="00ED3F40"/>
    <w:rsid w:val="00ED47D0"/>
    <w:rsid w:val="00ED4BE6"/>
    <w:rsid w:val="00ED564A"/>
    <w:rsid w:val="00ED6CAB"/>
    <w:rsid w:val="00EE582D"/>
    <w:rsid w:val="00EF12FF"/>
    <w:rsid w:val="00EF1357"/>
    <w:rsid w:val="00EF245A"/>
    <w:rsid w:val="00EF5F45"/>
    <w:rsid w:val="00EF65C3"/>
    <w:rsid w:val="00F00216"/>
    <w:rsid w:val="00F073C7"/>
    <w:rsid w:val="00F2056E"/>
    <w:rsid w:val="00F20842"/>
    <w:rsid w:val="00F20EA7"/>
    <w:rsid w:val="00F2454E"/>
    <w:rsid w:val="00F30A3A"/>
    <w:rsid w:val="00F31AB6"/>
    <w:rsid w:val="00F33A21"/>
    <w:rsid w:val="00F33B48"/>
    <w:rsid w:val="00F359E4"/>
    <w:rsid w:val="00F3775B"/>
    <w:rsid w:val="00F4262E"/>
    <w:rsid w:val="00F43DDE"/>
    <w:rsid w:val="00F4715A"/>
    <w:rsid w:val="00F473D2"/>
    <w:rsid w:val="00F52147"/>
    <w:rsid w:val="00F53103"/>
    <w:rsid w:val="00F54561"/>
    <w:rsid w:val="00F54689"/>
    <w:rsid w:val="00F562DC"/>
    <w:rsid w:val="00F64E76"/>
    <w:rsid w:val="00F67019"/>
    <w:rsid w:val="00F74F55"/>
    <w:rsid w:val="00F75216"/>
    <w:rsid w:val="00F75B28"/>
    <w:rsid w:val="00F75FCA"/>
    <w:rsid w:val="00F761C6"/>
    <w:rsid w:val="00F7784A"/>
    <w:rsid w:val="00F8059E"/>
    <w:rsid w:val="00F83A05"/>
    <w:rsid w:val="00F9418D"/>
    <w:rsid w:val="00F9716C"/>
    <w:rsid w:val="00F97F64"/>
    <w:rsid w:val="00FA51AD"/>
    <w:rsid w:val="00FA527D"/>
    <w:rsid w:val="00FB0BE5"/>
    <w:rsid w:val="00FB44F5"/>
    <w:rsid w:val="00FC08D7"/>
    <w:rsid w:val="00FC510A"/>
    <w:rsid w:val="00FC73F2"/>
    <w:rsid w:val="00FD0EDD"/>
    <w:rsid w:val="00FD2058"/>
    <w:rsid w:val="00FD561C"/>
    <w:rsid w:val="00FE058C"/>
    <w:rsid w:val="00FE2867"/>
    <w:rsid w:val="00FE3459"/>
    <w:rsid w:val="00FE3A63"/>
    <w:rsid w:val="00FE653F"/>
    <w:rsid w:val="00FF0DCC"/>
    <w:rsid w:val="00FF1672"/>
    <w:rsid w:val="00FF767D"/>
    <w:rsid w:val="00FF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96AA70"/>
  <w15:docId w15:val="{2B946982-3C1D-48A4-9B62-E2BDD6F9E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115D"/>
    <w:rPr>
      <w:sz w:val="24"/>
      <w:szCs w:val="24"/>
    </w:rPr>
  </w:style>
  <w:style w:type="paragraph" w:styleId="Titolo1">
    <w:name w:val="heading 1"/>
    <w:aliases w:val="Titolo capitolo"/>
    <w:basedOn w:val="Normale"/>
    <w:next w:val="Normale"/>
    <w:link w:val="Titolo1Carattere"/>
    <w:qFormat/>
    <w:pPr>
      <w:keepNext/>
      <w:jc w:val="center"/>
      <w:outlineLvl w:val="0"/>
    </w:pPr>
    <w:rPr>
      <w:b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both"/>
      <w:outlineLvl w:val="1"/>
    </w:pPr>
    <w:rPr>
      <w:b/>
      <w:szCs w:val="20"/>
    </w:rPr>
  </w:style>
  <w:style w:type="paragraph" w:styleId="Titolo3">
    <w:name w:val="heading 3"/>
    <w:basedOn w:val="Normale"/>
    <w:next w:val="Normale"/>
    <w:link w:val="Titolo3Carattere"/>
    <w:qFormat/>
    <w:pPr>
      <w:keepNext/>
      <w:jc w:val="both"/>
      <w:outlineLvl w:val="2"/>
    </w:pPr>
    <w:rPr>
      <w:b/>
      <w:sz w:val="22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both"/>
      <w:outlineLvl w:val="3"/>
    </w:pPr>
    <w:rPr>
      <w:rFonts w:ascii="Verdana" w:hAnsi="Verdana"/>
      <w:b/>
      <w:sz w:val="20"/>
      <w:szCs w:val="20"/>
    </w:rPr>
  </w:style>
  <w:style w:type="paragraph" w:styleId="Titolo5">
    <w:name w:val="heading 5"/>
    <w:basedOn w:val="Normale"/>
    <w:next w:val="Normale"/>
    <w:link w:val="Titolo5Carattere"/>
    <w:qFormat/>
    <w:pPr>
      <w:keepNext/>
      <w:jc w:val="center"/>
      <w:outlineLvl w:val="4"/>
    </w:pPr>
    <w:rPr>
      <w:sz w:val="28"/>
      <w:szCs w:val="20"/>
    </w:rPr>
  </w:style>
  <w:style w:type="paragraph" w:styleId="Titolo6">
    <w:name w:val="heading 6"/>
    <w:basedOn w:val="Normale"/>
    <w:next w:val="Normale"/>
    <w:link w:val="Titolo6Carattere"/>
    <w:qFormat/>
    <w:pPr>
      <w:keepNext/>
      <w:outlineLvl w:val="5"/>
    </w:pPr>
    <w:rPr>
      <w:rFonts w:ascii="Arial" w:hAnsi="Arial"/>
      <w:b/>
      <w:snapToGrid w:val="0"/>
      <w:color w:val="000000"/>
      <w:sz w:val="18"/>
      <w:szCs w:val="20"/>
    </w:rPr>
  </w:style>
  <w:style w:type="paragraph" w:styleId="Titolo7">
    <w:name w:val="heading 7"/>
    <w:basedOn w:val="Normale"/>
    <w:next w:val="Normale"/>
    <w:link w:val="Titolo7Carattere"/>
    <w:qFormat/>
    <w:pPr>
      <w:keepNext/>
      <w:jc w:val="both"/>
      <w:outlineLvl w:val="6"/>
    </w:pPr>
    <w:rPr>
      <w:rFonts w:ascii="Arial" w:hAnsi="Arial"/>
      <w:b/>
      <w:sz w:val="18"/>
      <w:szCs w:val="20"/>
    </w:rPr>
  </w:style>
  <w:style w:type="paragraph" w:styleId="Titolo8">
    <w:name w:val="heading 8"/>
    <w:basedOn w:val="Normale"/>
    <w:next w:val="Normale"/>
    <w:link w:val="Titolo8Carattere"/>
    <w:qFormat/>
    <w:pPr>
      <w:keepNext/>
      <w:ind w:right="-1"/>
      <w:jc w:val="center"/>
      <w:outlineLvl w:val="7"/>
    </w:pPr>
    <w:rPr>
      <w:rFonts w:ascii="MyriadPro-It" w:hAnsi="MyriadPro-It"/>
      <w:snapToGrid w:val="0"/>
      <w:sz w:val="36"/>
      <w:szCs w:val="20"/>
    </w:rPr>
  </w:style>
  <w:style w:type="paragraph" w:styleId="Titolo9">
    <w:name w:val="heading 9"/>
    <w:basedOn w:val="Normale"/>
    <w:next w:val="Normale"/>
    <w:link w:val="Titolo9Carattere"/>
    <w:qFormat/>
    <w:pPr>
      <w:keepNext/>
      <w:ind w:right="-1"/>
      <w:jc w:val="center"/>
      <w:outlineLvl w:val="8"/>
    </w:pPr>
    <w:rPr>
      <w:rFonts w:ascii="Arial" w:hAnsi="Arial"/>
      <w:b/>
      <w:snapToGrid w:val="0"/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rsid w:val="00B844F4"/>
    <w:rPr>
      <w:rFonts w:ascii="Verdana" w:hAnsi="Verdana"/>
      <w:b/>
    </w:rPr>
  </w:style>
  <w:style w:type="character" w:customStyle="1" w:styleId="Titolo5Carattere">
    <w:name w:val="Titolo 5 Carattere"/>
    <w:link w:val="Titolo5"/>
    <w:rsid w:val="00B844F4"/>
    <w:rPr>
      <w:sz w:val="28"/>
    </w:rPr>
  </w:style>
  <w:style w:type="character" w:customStyle="1" w:styleId="Titolo6Carattere">
    <w:name w:val="Titolo 6 Carattere"/>
    <w:link w:val="Titolo6"/>
    <w:rsid w:val="00B844F4"/>
    <w:rPr>
      <w:rFonts w:ascii="Arial" w:hAnsi="Arial"/>
      <w:b/>
      <w:snapToGrid w:val="0"/>
      <w:color w:val="000000"/>
      <w:sz w:val="18"/>
    </w:rPr>
  </w:style>
  <w:style w:type="paragraph" w:styleId="Corpotesto">
    <w:name w:val="Body Text"/>
    <w:aliases w:val="Text,bt,BODY TEXT,body text,t,Block text,heading_txt,bodytxy2,Para,EHPT,Body Text2,bt1,bodytext,BT,txt1,T1,Title 1,EDStext,sp,bullet title,sbs,block text,Resume Text,bt4,body text4,bt5,body text5,body text1,tx,text,Justified,pp,RFP Text"/>
    <w:basedOn w:val="Normale"/>
    <w:link w:val="CorpotestoCarattere"/>
    <w:semiHidden/>
    <w:pPr>
      <w:jc w:val="both"/>
    </w:pPr>
    <w:rPr>
      <w:sz w:val="28"/>
      <w:szCs w:val="20"/>
    </w:rPr>
  </w:style>
  <w:style w:type="paragraph" w:styleId="Corpodeltesto2">
    <w:name w:val="Body Text 2"/>
    <w:basedOn w:val="Normale"/>
    <w:link w:val="Corpodeltesto2Carattere"/>
    <w:semiHidden/>
    <w:pPr>
      <w:jc w:val="both"/>
    </w:pPr>
    <w:rPr>
      <w:sz w:val="26"/>
      <w:szCs w:val="20"/>
    </w:rPr>
  </w:style>
  <w:style w:type="paragraph" w:styleId="Titolo">
    <w:name w:val="Title"/>
    <w:basedOn w:val="Normale"/>
    <w:link w:val="TitoloCarattere"/>
    <w:qFormat/>
    <w:pPr>
      <w:jc w:val="center"/>
    </w:pPr>
    <w:rPr>
      <w:i/>
      <w:sz w:val="26"/>
      <w:szCs w:val="20"/>
    </w:rPr>
  </w:style>
  <w:style w:type="paragraph" w:styleId="Sottotitolo">
    <w:name w:val="Subtitle"/>
    <w:basedOn w:val="Normale"/>
    <w:link w:val="SottotitoloCarattere"/>
    <w:qFormat/>
    <w:pPr>
      <w:jc w:val="center"/>
    </w:pPr>
    <w:rPr>
      <w:b/>
      <w:sz w:val="32"/>
      <w:szCs w:val="20"/>
    </w:rPr>
  </w:style>
  <w:style w:type="character" w:styleId="Collegamentoipertestuale">
    <w:name w:val="Hyperlink"/>
    <w:rPr>
      <w:color w:val="0000FF"/>
      <w:u w:val="single"/>
    </w:rPr>
  </w:style>
  <w:style w:type="paragraph" w:styleId="Mappadocumento">
    <w:name w:val="Document Map"/>
    <w:basedOn w:val="Normale"/>
    <w:link w:val="MappadocumentoCarattere"/>
    <w:semiHidden/>
    <w:pPr>
      <w:shd w:val="clear" w:color="auto" w:fill="000080"/>
      <w:jc w:val="both"/>
    </w:pPr>
    <w:rPr>
      <w:rFonts w:ascii="Tahoma" w:hAnsi="Tahoma"/>
      <w:szCs w:val="2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Corpodeltesto3">
    <w:name w:val="Body Text 3"/>
    <w:basedOn w:val="Normale"/>
    <w:link w:val="Corpodeltesto3Carattere"/>
    <w:semiHidden/>
    <w:pPr>
      <w:jc w:val="both"/>
    </w:pPr>
    <w:rPr>
      <w:i/>
      <w:szCs w:val="20"/>
    </w:rPr>
  </w:style>
  <w:style w:type="paragraph" w:customStyle="1" w:styleId="S2">
    <w:name w:val="S2"/>
    <w:basedOn w:val="Normale"/>
    <w:autoRedefine/>
    <w:pPr>
      <w:numPr>
        <w:ilvl w:val="1"/>
        <w:numId w:val="1"/>
      </w:numPr>
      <w:outlineLvl w:val="0"/>
    </w:pPr>
    <w:rPr>
      <w:rFonts w:ascii="Tempus Sans ITC" w:hAnsi="Tempus Sans ITC"/>
      <w:b/>
      <w:sz w:val="26"/>
      <w:szCs w:val="20"/>
    </w:rPr>
  </w:style>
  <w:style w:type="paragraph" w:styleId="Testonotaapidipagina">
    <w:name w:val="footnote text"/>
    <w:aliases w:val="Footnote,Footnote1,Footnote2,Footnote3,Footnote4,Footnote5,Footnote6,Footnote7,Footnote8,Footnote9,Footnote10,Footnote11,Footnote21,Footnote31,Footnote41,Footnote51,Footnote61,Footnote71,Footnote81,Footnote91,Footnote12"/>
    <w:basedOn w:val="Normale"/>
    <w:link w:val="TestonotaapidipaginaCarattere"/>
    <w:uiPriority w:val="99"/>
    <w:rPr>
      <w:sz w:val="20"/>
      <w:szCs w:val="20"/>
    </w:rPr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Testodelblocco">
    <w:name w:val="Block Text"/>
    <w:basedOn w:val="Normale"/>
    <w:semiHidden/>
    <w:pPr>
      <w:ind w:left="-284" w:right="-285"/>
      <w:jc w:val="center"/>
    </w:pPr>
    <w:rPr>
      <w:rFonts w:ascii="Verdana" w:hAnsi="Verdana"/>
      <w:b/>
      <w:sz w:val="32"/>
      <w:szCs w:val="20"/>
    </w:rPr>
  </w:style>
  <w:style w:type="paragraph" w:customStyle="1" w:styleId="Tabella">
    <w:name w:val="Tabella"/>
    <w:basedOn w:val="Titolo2"/>
    <w:pPr>
      <w:spacing w:before="120" w:after="60"/>
    </w:pPr>
    <w:rPr>
      <w:b w:val="0"/>
      <w:i/>
    </w:rPr>
  </w:style>
  <w:style w:type="paragraph" w:customStyle="1" w:styleId="xl41">
    <w:name w:val="xl41"/>
    <w:basedOn w:val="Normale"/>
    <w:pPr>
      <w:spacing w:before="100" w:after="100"/>
      <w:jc w:val="both"/>
    </w:pPr>
    <w:rPr>
      <w:rFonts w:eastAsia="Arial Unicode MS"/>
      <w:szCs w:val="20"/>
    </w:rPr>
  </w:style>
  <w:style w:type="paragraph" w:styleId="Didascalia">
    <w:name w:val="caption"/>
    <w:basedOn w:val="Normale"/>
    <w:next w:val="Normale"/>
    <w:qFormat/>
    <w:pPr>
      <w:spacing w:after="240"/>
      <w:jc w:val="both"/>
    </w:pPr>
    <w:rPr>
      <w:i/>
      <w:sz w:val="20"/>
      <w:szCs w:val="20"/>
    </w:rPr>
  </w:style>
  <w:style w:type="paragraph" w:customStyle="1" w:styleId="Fonte">
    <w:name w:val="Fonte"/>
    <w:basedOn w:val="Didascalia"/>
    <w:pPr>
      <w:spacing w:after="0"/>
    </w:pPr>
    <w:rPr>
      <w:i w:val="0"/>
      <w:sz w:val="18"/>
    </w:rPr>
  </w:style>
  <w:style w:type="paragraph" w:customStyle="1" w:styleId="Stile1">
    <w:name w:val="Stile1"/>
    <w:basedOn w:val="Normale"/>
    <w:pPr>
      <w:spacing w:after="240"/>
      <w:jc w:val="both"/>
    </w:pPr>
    <w:rPr>
      <w:rFonts w:ascii="Courier New" w:hAnsi="Courier New"/>
      <w:sz w:val="20"/>
      <w:szCs w:val="20"/>
    </w:rPr>
  </w:style>
  <w:style w:type="paragraph" w:styleId="Sommario4">
    <w:name w:val="toc 4"/>
    <w:basedOn w:val="Normale"/>
    <w:next w:val="Normale"/>
    <w:autoRedefine/>
    <w:semiHidden/>
    <w:pPr>
      <w:spacing w:after="240"/>
      <w:ind w:left="720"/>
      <w:jc w:val="both"/>
    </w:pPr>
    <w:rPr>
      <w:szCs w:val="20"/>
    </w:rPr>
  </w:style>
  <w:style w:type="paragraph" w:styleId="Sommario6">
    <w:name w:val="toc 6"/>
    <w:basedOn w:val="Normale"/>
    <w:next w:val="Normale"/>
    <w:autoRedefine/>
    <w:semiHidden/>
    <w:pPr>
      <w:spacing w:after="240"/>
      <w:ind w:left="1200"/>
      <w:jc w:val="both"/>
    </w:pPr>
    <w:rPr>
      <w:szCs w:val="20"/>
    </w:rPr>
  </w:style>
  <w:style w:type="paragraph" w:styleId="Sommario3">
    <w:name w:val="toc 3"/>
    <w:basedOn w:val="Normale"/>
    <w:next w:val="Normale"/>
    <w:autoRedefine/>
    <w:semiHidden/>
    <w:pPr>
      <w:spacing w:after="240"/>
      <w:ind w:left="480"/>
      <w:jc w:val="both"/>
    </w:pPr>
    <w:rPr>
      <w:szCs w:val="20"/>
    </w:rPr>
  </w:style>
  <w:style w:type="paragraph" w:customStyle="1" w:styleId="StileStileStileTitolo114pt12pt">
    <w:name w:val="Stile Stile Stile Titolo 1 + + 14 pt + 12 pt"/>
    <w:basedOn w:val="Normale"/>
    <w:autoRedefine/>
    <w:rsid w:val="00B844F4"/>
    <w:pPr>
      <w:keepNext/>
      <w:spacing w:line="360" w:lineRule="auto"/>
      <w:ind w:firstLine="708"/>
      <w:jc w:val="both"/>
      <w:outlineLvl w:val="0"/>
    </w:pPr>
    <w:rPr>
      <w:rFonts w:ascii="Tahoma" w:hAnsi="Tahoma"/>
      <w:sz w:val="28"/>
    </w:rPr>
  </w:style>
  <w:style w:type="character" w:customStyle="1" w:styleId="RientrocorpodeltestoCarattere">
    <w:name w:val="Rientro corpo del testo Carattere"/>
    <w:link w:val="Rientrocorpodeltesto"/>
    <w:semiHidden/>
    <w:rsid w:val="00B844F4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semiHidden/>
    <w:rsid w:val="00B844F4"/>
    <w:pPr>
      <w:ind w:left="708"/>
      <w:jc w:val="both"/>
    </w:pPr>
  </w:style>
  <w:style w:type="character" w:customStyle="1" w:styleId="Rientrocorpodeltesto2Carattere">
    <w:name w:val="Rientro corpo del testo 2 Carattere"/>
    <w:link w:val="Rientrocorpodeltesto2"/>
    <w:semiHidden/>
    <w:rsid w:val="00B844F4"/>
    <w:rPr>
      <w:rFonts w:ascii="Tahoma" w:hAnsi="Tahoma"/>
      <w:b/>
      <w:sz w:val="32"/>
      <w:szCs w:val="24"/>
    </w:rPr>
  </w:style>
  <w:style w:type="paragraph" w:styleId="Rientrocorpodeltesto2">
    <w:name w:val="Body Text Indent 2"/>
    <w:basedOn w:val="Normale"/>
    <w:link w:val="Rientrocorpodeltesto2Carattere"/>
    <w:semiHidden/>
    <w:rsid w:val="00B844F4"/>
    <w:pPr>
      <w:widowControl w:val="0"/>
      <w:spacing w:line="360" w:lineRule="auto"/>
      <w:ind w:left="-840"/>
    </w:pPr>
    <w:rPr>
      <w:rFonts w:ascii="Tahoma" w:hAnsi="Tahoma"/>
      <w:b/>
      <w:sz w:val="32"/>
    </w:rPr>
  </w:style>
  <w:style w:type="character" w:customStyle="1" w:styleId="Rientrocorpodeltesto3Carattere">
    <w:name w:val="Rientro corpo del testo 3 Carattere"/>
    <w:link w:val="Rientrocorpodeltesto3"/>
    <w:semiHidden/>
    <w:rsid w:val="00B844F4"/>
    <w:rPr>
      <w:rFonts w:ascii="Tahoma" w:hAnsi="Tahoma"/>
      <w:sz w:val="28"/>
      <w:szCs w:val="24"/>
    </w:rPr>
  </w:style>
  <w:style w:type="paragraph" w:styleId="Rientrocorpodeltesto3">
    <w:name w:val="Body Text Indent 3"/>
    <w:basedOn w:val="Normale"/>
    <w:link w:val="Rientrocorpodeltesto3Carattere"/>
    <w:semiHidden/>
    <w:rsid w:val="00B844F4"/>
    <w:pPr>
      <w:ind w:left="708"/>
    </w:pPr>
    <w:rPr>
      <w:rFonts w:ascii="Tahoma" w:hAnsi="Tahoma"/>
      <w:sz w:val="28"/>
    </w:rPr>
  </w:style>
  <w:style w:type="paragraph" w:customStyle="1" w:styleId="Rientrolettere">
    <w:name w:val="Rientro lettere"/>
    <w:basedOn w:val="Normale"/>
    <w:rsid w:val="00B844F4"/>
    <w:pPr>
      <w:numPr>
        <w:numId w:val="2"/>
      </w:numPr>
    </w:pPr>
    <w:rPr>
      <w:sz w:val="20"/>
    </w:rPr>
  </w:style>
  <w:style w:type="paragraph" w:styleId="Paragrafoelenco">
    <w:name w:val="List Paragraph"/>
    <w:basedOn w:val="Normale"/>
    <w:uiPriority w:val="34"/>
    <w:qFormat/>
    <w:rsid w:val="00B844F4"/>
    <w:pPr>
      <w:spacing w:after="200" w:line="276" w:lineRule="auto"/>
      <w:ind w:left="720"/>
    </w:pPr>
    <w:rPr>
      <w:rFonts w:ascii="Calibri" w:eastAsia="Calibri" w:hAnsi="Calibri"/>
      <w:sz w:val="22"/>
    </w:rPr>
  </w:style>
  <w:style w:type="character" w:customStyle="1" w:styleId="TestofumettoCarattere">
    <w:name w:val="Testo fumetto Carattere"/>
    <w:link w:val="Testofumetto"/>
    <w:uiPriority w:val="99"/>
    <w:semiHidden/>
    <w:rsid w:val="00B844F4"/>
    <w:rPr>
      <w:rFonts w:ascii="Tahoma" w:hAnsi="Tahoma"/>
      <w:sz w:val="16"/>
      <w:szCs w:val="16"/>
      <w:lang w:val="x-none" w:eastAsia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44F4"/>
    <w:rPr>
      <w:rFonts w:ascii="Tahoma" w:hAnsi="Tahoma"/>
      <w:sz w:val="16"/>
      <w:szCs w:val="16"/>
      <w:lang w:val="x-none" w:eastAsia="x-none"/>
    </w:rPr>
  </w:style>
  <w:style w:type="character" w:customStyle="1" w:styleId="style132">
    <w:name w:val="style132"/>
    <w:rsid w:val="00B844F4"/>
  </w:style>
  <w:style w:type="paragraph" w:styleId="NormaleWeb">
    <w:name w:val="Normal (Web)"/>
    <w:basedOn w:val="Normale"/>
    <w:uiPriority w:val="99"/>
    <w:unhideWhenUsed/>
    <w:rsid w:val="00B844F4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844F4"/>
    <w:rPr>
      <w:b/>
      <w:bCs/>
    </w:rPr>
  </w:style>
  <w:style w:type="table" w:styleId="Grigliatabella">
    <w:name w:val="Table Grid"/>
    <w:basedOn w:val="Tabellanormale"/>
    <w:uiPriority w:val="59"/>
    <w:rsid w:val="008E7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785C8D"/>
    <w:rPr>
      <w:sz w:val="24"/>
    </w:rPr>
  </w:style>
  <w:style w:type="character" w:customStyle="1" w:styleId="Titolo1Carattere">
    <w:name w:val="Titolo 1 Carattere"/>
    <w:aliases w:val="Titolo capitolo Carattere"/>
    <w:basedOn w:val="Carpredefinitoparagrafo"/>
    <w:link w:val="Titolo1"/>
    <w:rsid w:val="00A00480"/>
    <w:rPr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A00480"/>
    <w:rPr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A00480"/>
    <w:rPr>
      <w:b/>
      <w:sz w:val="22"/>
    </w:rPr>
  </w:style>
  <w:style w:type="character" w:customStyle="1" w:styleId="Titolo7Carattere">
    <w:name w:val="Titolo 7 Carattere"/>
    <w:basedOn w:val="Carpredefinitoparagrafo"/>
    <w:link w:val="Titolo7"/>
    <w:rsid w:val="00A00480"/>
    <w:rPr>
      <w:rFonts w:ascii="Arial" w:hAnsi="Arial"/>
      <w:b/>
      <w:sz w:val="18"/>
    </w:rPr>
  </w:style>
  <w:style w:type="character" w:customStyle="1" w:styleId="Titolo8Carattere">
    <w:name w:val="Titolo 8 Carattere"/>
    <w:basedOn w:val="Carpredefinitoparagrafo"/>
    <w:link w:val="Titolo8"/>
    <w:rsid w:val="00A00480"/>
    <w:rPr>
      <w:rFonts w:ascii="MyriadPro-It" w:hAnsi="MyriadPro-It"/>
      <w:snapToGrid w:val="0"/>
      <w:sz w:val="36"/>
    </w:rPr>
  </w:style>
  <w:style w:type="character" w:customStyle="1" w:styleId="Titolo9Carattere">
    <w:name w:val="Titolo 9 Carattere"/>
    <w:basedOn w:val="Carpredefinitoparagrafo"/>
    <w:link w:val="Titolo9"/>
    <w:rsid w:val="00A00480"/>
    <w:rPr>
      <w:rFonts w:ascii="Arial" w:hAnsi="Arial"/>
      <w:b/>
      <w:snapToGrid w:val="0"/>
      <w:sz w:val="32"/>
    </w:rPr>
  </w:style>
  <w:style w:type="character" w:customStyle="1" w:styleId="CorpotestoCarattere">
    <w:name w:val="Corpo testo Carattere"/>
    <w:aliases w:val="Text Carattere,bt Carattere,BODY TEXT Carattere,body text Carattere,t Carattere,Block text Carattere,heading_txt Carattere,bodytxy2 Carattere,Para Carattere,EHPT Carattere,Body Text2 Carattere,bt1 Carattere,bodytext Carattere"/>
    <w:basedOn w:val="Carpredefinitoparagrafo"/>
    <w:link w:val="Corpotesto"/>
    <w:semiHidden/>
    <w:rsid w:val="00A00480"/>
    <w:rPr>
      <w:sz w:val="28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A00480"/>
    <w:rPr>
      <w:sz w:val="26"/>
    </w:rPr>
  </w:style>
  <w:style w:type="character" w:customStyle="1" w:styleId="TitoloCarattere">
    <w:name w:val="Titolo Carattere"/>
    <w:basedOn w:val="Carpredefinitoparagrafo"/>
    <w:link w:val="Titolo"/>
    <w:rsid w:val="00A00480"/>
    <w:rPr>
      <w:i/>
      <w:sz w:val="26"/>
    </w:rPr>
  </w:style>
  <w:style w:type="character" w:customStyle="1" w:styleId="SottotitoloCarattere">
    <w:name w:val="Sottotitolo Carattere"/>
    <w:basedOn w:val="Carpredefinitoparagrafo"/>
    <w:link w:val="Sottotitolo"/>
    <w:rsid w:val="00A00480"/>
    <w:rPr>
      <w:b/>
      <w:sz w:val="32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A00480"/>
    <w:rPr>
      <w:rFonts w:ascii="Tahoma" w:hAnsi="Tahoma"/>
      <w:sz w:val="24"/>
      <w:shd w:val="clear" w:color="auto" w:fill="00008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0480"/>
    <w:rPr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A00480"/>
    <w:rPr>
      <w:i/>
      <w:sz w:val="24"/>
    </w:rPr>
  </w:style>
  <w:style w:type="character" w:customStyle="1" w:styleId="TestonotaapidipaginaCarattere">
    <w:name w:val="Testo nota a piè di pagina Carattere"/>
    <w:aliases w:val="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A00480"/>
  </w:style>
  <w:style w:type="character" w:customStyle="1" w:styleId="RientrocorpodeltestoCarattere1">
    <w:name w:val="Rientro corpo del testo Carattere1"/>
    <w:basedOn w:val="Carpredefinitoparagrafo"/>
    <w:uiPriority w:val="99"/>
    <w:semiHidden/>
    <w:rsid w:val="00A00480"/>
    <w:rPr>
      <w:sz w:val="24"/>
    </w:rPr>
  </w:style>
  <w:style w:type="character" w:customStyle="1" w:styleId="Rientrocorpodeltesto2Carattere1">
    <w:name w:val="Rientro corpo del testo 2 Carattere1"/>
    <w:basedOn w:val="Carpredefinitoparagrafo"/>
    <w:uiPriority w:val="99"/>
    <w:semiHidden/>
    <w:rsid w:val="00A00480"/>
    <w:rPr>
      <w:sz w:val="24"/>
    </w:rPr>
  </w:style>
  <w:style w:type="character" w:customStyle="1" w:styleId="Rientrocorpodeltesto3Carattere1">
    <w:name w:val="Rientro corpo del testo 3 Carattere1"/>
    <w:basedOn w:val="Carpredefinitoparagrafo"/>
    <w:uiPriority w:val="99"/>
    <w:semiHidden/>
    <w:rsid w:val="00A00480"/>
    <w:rPr>
      <w:sz w:val="16"/>
      <w:szCs w:val="16"/>
    </w:rPr>
  </w:style>
  <w:style w:type="character" w:customStyle="1" w:styleId="TestofumettoCarattere1">
    <w:name w:val="Testo fumetto Carattere1"/>
    <w:basedOn w:val="Carpredefinitoparagrafo"/>
    <w:uiPriority w:val="99"/>
    <w:semiHidden/>
    <w:rsid w:val="00A00480"/>
    <w:rPr>
      <w:rFonts w:ascii="Segoe UI" w:hAnsi="Segoe UI" w:cs="Segoe UI"/>
      <w:sz w:val="18"/>
      <w:szCs w:val="18"/>
    </w:rPr>
  </w:style>
  <w:style w:type="character" w:customStyle="1" w:styleId="tabitem">
    <w:name w:val="tab item"/>
    <w:rsid w:val="00A00480"/>
    <w:rPr>
      <w:rFonts w:ascii="Courier New" w:hAnsi="Courier New" w:cs="Courier New"/>
    </w:rPr>
  </w:style>
  <w:style w:type="paragraph" w:customStyle="1" w:styleId="IsnartTabitem">
    <w:name w:val="Isnart Tab item"/>
    <w:basedOn w:val="Normale"/>
    <w:rsid w:val="00A00480"/>
    <w:pPr>
      <w:spacing w:before="60" w:after="60"/>
    </w:pPr>
    <w:rPr>
      <w:rFonts w:ascii="Arial Narrow" w:hAnsi="Arial Narrow"/>
      <w:color w:val="000000"/>
      <w:szCs w:val="20"/>
    </w:rPr>
  </w:style>
  <w:style w:type="character" w:styleId="Numeropagina">
    <w:name w:val="page number"/>
    <w:basedOn w:val="Carpredefinitoparagrafo"/>
    <w:uiPriority w:val="99"/>
    <w:rsid w:val="00A00480"/>
  </w:style>
  <w:style w:type="paragraph" w:customStyle="1" w:styleId="Default">
    <w:name w:val="Default"/>
    <w:rsid w:val="00A00480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A0048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00480"/>
    <w:pPr>
      <w:jc w:val="both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0480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0048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00480"/>
    <w:rPr>
      <w:b/>
      <w:bCs/>
    </w:rPr>
  </w:style>
  <w:style w:type="paragraph" w:styleId="Revisione">
    <w:name w:val="Revision"/>
    <w:hidden/>
    <w:uiPriority w:val="99"/>
    <w:semiHidden/>
    <w:rsid w:val="00A00480"/>
    <w:rPr>
      <w:sz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0048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A4476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456BC0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DD4559"/>
    <w:rPr>
      <w:color w:val="605E5C"/>
      <w:shd w:val="clear" w:color="auto" w:fill="E1DFDD"/>
    </w:rPr>
  </w:style>
  <w:style w:type="character" w:customStyle="1" w:styleId="xt0psk2">
    <w:name w:val="xt0psk2"/>
    <w:basedOn w:val="Carpredefinitoparagrafo"/>
    <w:rsid w:val="006C22E4"/>
  </w:style>
  <w:style w:type="paragraph" w:customStyle="1" w:styleId="Normale1">
    <w:name w:val="Normale1"/>
    <w:rsid w:val="007D2A1B"/>
    <w:pPr>
      <w:jc w:val="both"/>
    </w:pPr>
    <w:rPr>
      <w:rFonts w:ascii="Calibri" w:eastAsia="Calibri" w:hAnsi="Calibri" w:cs="Calibri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4D23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9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1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64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37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7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44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42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55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24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00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6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1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0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1272</Words>
  <Characters>7256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Comunicato stampa</vt:lpstr>
    </vt:vector>
  </TitlesOfParts>
  <Company>Unioncamere</Company>
  <LinksUpToDate>false</LinksUpToDate>
  <CharactersWithSpaces>8511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Comunicato stampa</dc:title>
  <dc:creator>Luigi Pagliaro</dc:creator>
  <cp:lastModifiedBy>Paola Rita Nives Cuzzocrea</cp:lastModifiedBy>
  <cp:revision>2</cp:revision>
  <cp:lastPrinted>2025-06-23T11:13:00Z</cp:lastPrinted>
  <dcterms:created xsi:type="dcterms:W3CDTF">2025-07-22T15:32:00Z</dcterms:created>
  <dcterms:modified xsi:type="dcterms:W3CDTF">2025-07-22T15:32:00Z</dcterms:modified>
</cp:coreProperties>
</file>